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color w:val="18212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8212c"/>
          <w:sz w:val="32"/>
          <w:szCs w:val="32"/>
        </w:rPr>
      </w:pPr>
      <w:r w:rsidDel="00000000" w:rsidR="00000000" w:rsidRPr="00000000">
        <w:rPr>
          <w:b w:val="1"/>
          <w:color w:val="18212c"/>
          <w:sz w:val="32"/>
          <w:szCs w:val="32"/>
          <w:rtl w:val="0"/>
        </w:rPr>
        <w:t xml:space="preserve">Sprint Timeline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1428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150"/>
        <w:gridCol w:w="4755"/>
        <w:tblGridChange w:id="0">
          <w:tblGrid>
            <w:gridCol w:w="1455"/>
            <w:gridCol w:w="3150"/>
            <w:gridCol w:w="4755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</w:t>
              <w:br w:type="textWrapping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Kickoff Call </w:t>
            </w: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br w:type="textWrapping"/>
              <w:t xml:space="preserve">(Date)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Launch of the sprint where participants introduce themselves and receive an introduction to the problem statements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2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connect with user advocates to conduct user research and better understand the challenge they are working on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3</w:t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user research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4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color w:val="0142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User Research Milestone 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share learnings from user research</w:t>
            </w:r>
          </w:p>
          <w:p w:rsidR="00000000" w:rsidDel="00000000" w:rsidP="00000000" w:rsidRDefault="00000000" w:rsidRPr="00000000" w14:paraId="00000016">
            <w:pPr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and connect with user advocates for more feedback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5</w:t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user research and begin data exploration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6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01428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Data Exploration Milestone</w:t>
            </w: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Data dive Q&amp;A with data stewards to answer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questions on federal data sets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7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exploring data and developing products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8</w:t>
              <w:br w:type="textWrapping"/>
              <w:t xml:space="preserve">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142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Alpha Demo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Virtual demo of the tools in progress. Teams share concepts, wireframes, and works in progress. Sprint participants offer feedback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9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incorporate feedback from demo and continue building products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10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building products and conduct user testing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11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building products and conduct user testing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12</w:t>
            </w:r>
            <w:r w:rsidDel="00000000" w:rsidR="00000000" w:rsidRPr="00000000">
              <w:rPr>
                <w:b w:val="1"/>
                <w:color w:val="545e6a"/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Final Demo</w:t>
            </w:r>
            <w:r w:rsidDel="00000000" w:rsidR="00000000" w:rsidRPr="00000000">
              <w:rPr>
                <w:b w:val="1"/>
                <w:color w:val="545e6a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Virtual demo of more mature versions of tools. Typically, teams will have an MVP (Minimal Viable Product) with an initial set of functioning features. Sprint participants offer feedback</w:t>
            </w:r>
          </w:p>
        </w:tc>
      </w:tr>
    </w:tbl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color w:val="ff0000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247650</wp:posOffset>
          </wp:positionV>
          <wp:extent cx="1243013" cy="69510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6951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ff0000"/>
        <w:rtl w:val="0"/>
      </w:rPr>
      <w:t xml:space="preserve">[Agency 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