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912C4D">
      <w:pPr>
        <w:keepNext w:val="0"/>
        <w:keepLines w:val="0"/>
        <w:widowControl/>
        <w:suppressLineNumbers w:val="0"/>
        <w:ind w:left="0" w:leftChars="0" w:firstLine="0" w:firstLineChars="0"/>
        <w:jc w:val="center"/>
        <w:rPr>
          <w:rFonts w:ascii="Times New Roman" w:hAnsi="Times New Roman" w:eastAsia="黑体" w:cstheme="majorBidi"/>
          <w:b/>
          <w:bCs/>
          <w:kern w:val="2"/>
          <w:sz w:val="36"/>
          <w:szCs w:val="32"/>
          <w:lang w:val="en-US" w:eastAsia="zh-CN" w:bidi="ar-SA"/>
        </w:rPr>
      </w:pPr>
      <w:r>
        <w:rPr>
          <w:rFonts w:ascii="Times New Roman" w:hAnsi="Times New Roman" w:eastAsia="黑体" w:cstheme="majorBidi"/>
          <w:b/>
          <w:bCs/>
          <w:kern w:val="2"/>
          <w:sz w:val="36"/>
          <w:szCs w:val="32"/>
          <w:lang w:val="en-US" w:eastAsia="zh-CN" w:bidi="ar-SA"/>
        </w:rPr>
        <w:t>基于RT-Thread与纳芯微的单级式多端口功率流控型无刷电机驱动</w:t>
      </w:r>
    </w:p>
    <w:p w14:paraId="112B1E08">
      <w:pPr>
        <w:tabs>
          <w:tab w:val="left" w:pos="6524"/>
        </w:tabs>
        <w:ind w:firstLine="562"/>
        <w:jc w:val="center"/>
        <w:rPr>
          <w:rFonts w:cs="Times New Roman"/>
          <w:b/>
          <w:sz w:val="28"/>
        </w:rPr>
      </w:pPr>
      <w:r>
        <w:rPr>
          <w:rFonts w:hint="eastAsia" w:cs="Times New Roman"/>
          <w:b/>
          <w:sz w:val="28"/>
        </w:rPr>
        <w:t>摘要</w:t>
      </w:r>
    </w:p>
    <w:p w14:paraId="42D4C354">
      <w:pPr>
        <w:pStyle w:val="16"/>
        <w:ind w:left="420" w:leftChars="0" w:firstLine="420" w:firstLineChars="0"/>
        <w:rPr>
          <w:rFonts w:hint="eastAsia" w:cs="Times New Roman"/>
          <w:lang w:val="en-US" w:eastAsia="zh-CN"/>
        </w:rPr>
      </w:pPr>
      <w:r>
        <w:rPr>
          <w:rFonts w:hint="eastAsia" w:cs="Times New Roman"/>
          <w:lang w:val="en-US" w:eastAsia="zh-CN"/>
        </w:rPr>
        <w:t>本设计提供了一个高转换效率、高控制粒度，且具有直流端口间功率分配能力的NPC型单级式三电平逆变器拓扑与结合RT-Thread实时操作系统内核的控制策略，能够提供灵活的功率分配能力与高效的实时响应，且提高了控制算法的复用与移植能力。</w:t>
      </w:r>
    </w:p>
    <w:p w14:paraId="29832601">
      <w:pPr>
        <w:pStyle w:val="16"/>
        <w:ind w:left="420" w:leftChars="0" w:firstLine="420" w:firstLineChars="0"/>
        <w:rPr>
          <w:rFonts w:hint="eastAsia" w:cs="Times New Roman"/>
          <w:lang w:val="en-US" w:eastAsia="zh-CN"/>
        </w:rPr>
      </w:pPr>
      <w:r>
        <w:rPr>
          <w:rFonts w:hint="eastAsia" w:cs="Times New Roman"/>
          <w:lang w:val="en-US" w:eastAsia="zh-CN"/>
        </w:rPr>
        <w:t>在现代电机驱动应用领域，传统双直流端口逆变器在面对直流端口间的功率分配问题时，需要引入额外的功率变换级来实现直流端口间的功率交换，以及在控制直流端口对交流侧的功率输出时需要进行同步与通信协调，这些问题直接影响了功率转换效率、元件成本及系统实时性。</w:t>
      </w:r>
    </w:p>
    <w:p w14:paraId="7DE0D0B7">
      <w:pPr>
        <w:pStyle w:val="16"/>
        <w:ind w:left="420" w:leftChars="0" w:firstLine="420" w:firstLineChars="0"/>
        <w:rPr>
          <w:rFonts w:hint="default" w:cs="Times New Roman"/>
          <w:lang w:val="en-US" w:eastAsia="zh-CN"/>
        </w:rPr>
      </w:pPr>
      <w:r>
        <w:rPr>
          <w:rFonts w:hint="eastAsia" w:cs="Times New Roman"/>
          <w:lang w:val="en-US" w:eastAsia="zh-CN"/>
        </w:rPr>
        <w:t>而在软件设计策略上，利用传统RTOS常常难以解决多人团队在多模块的并发开发问题，以及在开发过程中对RTOS性能开销未知，多线程间开发常常耦合度较高，这些问题也显著影响了开发效率与测试难度。</w:t>
      </w:r>
    </w:p>
    <w:p w14:paraId="099A703F">
      <w:pPr>
        <w:pStyle w:val="16"/>
        <w:ind w:left="420" w:leftChars="0" w:firstLine="420" w:firstLineChars="0"/>
        <w:rPr>
          <w:rFonts w:hint="eastAsia" w:cs="Times New Roman"/>
          <w:lang w:val="en-US" w:eastAsia="zh-CN"/>
        </w:rPr>
      </w:pPr>
      <w:r>
        <w:rPr>
          <w:rFonts w:hint="eastAsia" w:cs="Times New Roman"/>
          <w:lang w:val="en-US" w:eastAsia="zh-CN"/>
        </w:rPr>
        <w:t>在硬件部分，基于这两个问题，本团队提出了单级式三电平逆变器拓扑，在单个功率转换级内通过PDSVM (Power-distribution Space Vector Modulation)控制策略，来实现直流端口间的功率交换与直流交流端口间的功率传递。</w:t>
      </w:r>
    </w:p>
    <w:p w14:paraId="1A2F9382">
      <w:pPr>
        <w:pStyle w:val="16"/>
        <w:ind w:left="420" w:leftChars="0" w:firstLine="420" w:firstLineChars="0"/>
        <w:rPr>
          <w:rFonts w:hint="eastAsia" w:cs="Times New Roman"/>
          <w:lang w:val="en-US" w:eastAsia="zh-CN"/>
        </w:rPr>
      </w:pPr>
      <w:r>
        <w:rPr>
          <w:rFonts w:hint="eastAsia" w:cs="Times New Roman"/>
          <w:lang w:val="en-US" w:eastAsia="zh-CN"/>
        </w:rPr>
        <w:t>在软件部分，团队借助RT-Thread高性能RTOS内核，来实现MCU单核运行时的高性能多线程处理，同步管理控制系统中的多个硬件外设，如串口、显示与交互、功能切换、功率需求调整等等内容。并进一步地利用RT-Thread的组件化构建特性，实现并行多线开发，最后通过宏函数导入系统，实现无感更新，提升开发效率。在测试时，利用RT-Thread团队的RT-Trace工具能够以ns级单位来监视系统在运行时的性能开销，精确定位需要优化的线程所在。在开发结束后，借助RT-Thread的规范化HAL层接口，可以将工程设置高效地实现轻量级抽象，便于后续二次开发与移植适配。</w:t>
      </w:r>
    </w:p>
    <w:p w14:paraId="65BEC330">
      <w:pPr>
        <w:pStyle w:val="16"/>
        <w:ind w:left="420" w:leftChars="0" w:firstLine="420" w:firstLineChars="0"/>
        <w:rPr>
          <w:rFonts w:hint="default" w:cs="Times New Roman"/>
          <w:lang w:val="en-US" w:eastAsia="zh-CN"/>
        </w:rPr>
      </w:pPr>
      <w:r>
        <w:rPr>
          <w:rFonts w:hint="eastAsia" w:cs="Times New Roman"/>
          <w:lang w:val="en-US" w:eastAsia="zh-CN"/>
        </w:rPr>
        <w:t>同时，本团队也在应用并实现高性能NS800RT7系列MCU进行工程实现时，同步为RT-Thread社区进行了开源建设，提交了该系列芯片的ADC外设PR，进一步优化了RT-Thread内核及其开发表现。</w:t>
      </w:r>
    </w:p>
    <w:p w14:paraId="69D345D6">
      <w:pPr>
        <w:pStyle w:val="16"/>
        <w:ind w:left="420" w:leftChars="0" w:firstLine="420" w:firstLineChars="0"/>
        <w:rPr>
          <w:rFonts w:hint="default" w:cs="Times New Roman"/>
          <w:lang w:val="en-US" w:eastAsia="zh-CN"/>
        </w:rPr>
      </w:pPr>
      <w:r>
        <w:rPr>
          <w:rFonts w:hint="eastAsia" w:cs="Times New Roman"/>
          <w:lang w:val="en-US" w:eastAsia="zh-CN"/>
        </w:rPr>
        <w:t>综上，本团队利用高性能RT-Thread内核与单级式多端口逆变器硬件设计，实现了高转换效率、具有灵活功率分配能力的三相无刷电机驱动，极大地提升了三相电机驱动系统中的功率控制能力与实时性。</w:t>
      </w:r>
    </w:p>
    <w:p w14:paraId="1A685068">
      <w:pPr>
        <w:ind w:firstLine="562"/>
        <w:rPr>
          <w:rFonts w:cs="Times New Roman"/>
          <w:b/>
          <w:sz w:val="28"/>
        </w:rPr>
      </w:pPr>
    </w:p>
    <w:p w14:paraId="7BE46259">
      <w:pPr>
        <w:rPr>
          <w:rFonts w:hint="eastAsia" w:cs="Times New Roman"/>
          <w:b/>
          <w:sz w:val="28"/>
        </w:rPr>
      </w:pPr>
      <w:r>
        <w:rPr>
          <w:rFonts w:hint="eastAsia" w:cs="Times New Roman"/>
          <w:b/>
          <w:sz w:val="28"/>
        </w:rPr>
        <w:br w:type="page"/>
      </w:r>
    </w:p>
    <w:p w14:paraId="119B016C">
      <w:pPr>
        <w:pStyle w:val="2"/>
        <w:bidi w:val="0"/>
      </w:pPr>
      <w:r>
        <w:rPr>
          <w:rFonts w:hint="eastAsia"/>
        </w:rPr>
        <w:t xml:space="preserve">第一部分 </w:t>
      </w:r>
      <w:r>
        <w:t xml:space="preserve"> </w:t>
      </w:r>
      <w:r>
        <w:rPr>
          <w:rFonts w:hint="eastAsia"/>
        </w:rPr>
        <w:t>作品概述</w:t>
      </w:r>
    </w:p>
    <w:p w14:paraId="02923A65">
      <w:pPr>
        <w:pStyle w:val="3"/>
        <w:numPr>
          <w:ilvl w:val="1"/>
          <w:numId w:val="2"/>
        </w:numPr>
        <w:bidi w:val="0"/>
      </w:pPr>
      <w:r>
        <w:rPr>
          <w:rFonts w:hint="eastAsia"/>
        </w:rPr>
        <w:t>功能与特性</w:t>
      </w:r>
    </w:p>
    <w:p w14:paraId="39743AD0">
      <w:pPr>
        <w:pStyle w:val="16"/>
        <w:numPr>
          <w:ilvl w:val="0"/>
          <w:numId w:val="0"/>
        </w:numPr>
        <w:ind w:left="420" w:leftChars="0"/>
        <w:jc w:val="center"/>
      </w:pPr>
      <w:r>
        <w:drawing>
          <wp:inline distT="0" distB="0" distL="114300" distR="114300">
            <wp:extent cx="4827270" cy="3348990"/>
            <wp:effectExtent l="0" t="0" r="24130" b="3810"/>
            <wp:docPr id="1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pic:cNvPicPr>
                      <a:picLocks noChangeAspect="1"/>
                    </pic:cNvPicPr>
                  </pic:nvPicPr>
                  <pic:blipFill>
                    <a:blip r:embed="rId12"/>
                    <a:stretch>
                      <a:fillRect/>
                    </a:stretch>
                  </pic:blipFill>
                  <pic:spPr>
                    <a:xfrm>
                      <a:off x="0" y="0"/>
                      <a:ext cx="4827270" cy="3348990"/>
                    </a:xfrm>
                    <a:prstGeom prst="rect">
                      <a:avLst/>
                    </a:prstGeom>
                    <a:noFill/>
                    <a:ln>
                      <a:noFill/>
                    </a:ln>
                  </pic:spPr>
                </pic:pic>
              </a:graphicData>
            </a:graphic>
          </wp:inline>
        </w:drawing>
      </w:r>
    </w:p>
    <w:p w14:paraId="54F49289">
      <w:pPr>
        <w:pStyle w:val="16"/>
        <w:numPr>
          <w:ilvl w:val="0"/>
          <w:numId w:val="3"/>
        </w:numPr>
        <w:ind w:left="845" w:leftChars="0" w:hanging="425" w:firstLineChars="0"/>
        <w:rPr>
          <w:rFonts w:hint="default" w:eastAsia="宋体" w:cs="Times New Roman"/>
          <w:lang w:val="en-US" w:eastAsia="zh-CN"/>
        </w:rPr>
      </w:pPr>
      <w:r>
        <w:rPr>
          <w:rFonts w:hint="eastAsia" w:cs="Times New Roman"/>
          <w:lang w:val="en-US" w:eastAsia="zh-CN"/>
        </w:rPr>
        <w:t>功率分配能力：该逆变器与两个独立的直流电流源连接（高压主电池与低压辅助电池），能够在满足交流负载功率需求前提下，实时控制两个电流源的功率输出额度，并且能够令高压主电池为低压辅助电池进行充能，保证在低压辅助电池进行功率辅助后快速恢复。</w:t>
      </w:r>
    </w:p>
    <w:p w14:paraId="52C91CE7">
      <w:pPr>
        <w:pStyle w:val="16"/>
        <w:numPr>
          <w:ilvl w:val="0"/>
          <w:numId w:val="3"/>
        </w:numPr>
        <w:ind w:left="845" w:leftChars="0" w:hanging="425" w:firstLineChars="0"/>
        <w:rPr>
          <w:rFonts w:hint="default" w:eastAsia="宋体" w:cs="Times New Roman"/>
          <w:lang w:val="en-US" w:eastAsia="zh-CN"/>
        </w:rPr>
      </w:pPr>
      <w:r>
        <w:rPr>
          <w:rFonts w:hint="eastAsia" w:cs="Times New Roman"/>
          <w:lang w:val="en-US" w:eastAsia="zh-CN"/>
        </w:rPr>
        <w:t>实时控制能力：利用RT-Thread内核并行处理多个外设负载，以及高频的ADC采样与PDSVM运算，在保证运算实时性的同时保证其余外设的流畅度与响应能力。</w:t>
      </w:r>
    </w:p>
    <w:p w14:paraId="6E0B6B5B">
      <w:pPr>
        <w:pStyle w:val="16"/>
        <w:numPr>
          <w:ilvl w:val="0"/>
          <w:numId w:val="3"/>
        </w:numPr>
        <w:ind w:left="845" w:leftChars="0" w:hanging="425" w:firstLineChars="0"/>
        <w:rPr>
          <w:rFonts w:hint="default" w:eastAsia="宋体" w:cs="Times New Roman"/>
          <w:lang w:val="en-US" w:eastAsia="zh-CN"/>
        </w:rPr>
      </w:pPr>
      <w:r>
        <w:rPr>
          <w:rFonts w:hint="eastAsia" w:cs="Times New Roman"/>
          <w:lang w:val="en-US" w:eastAsia="zh-CN"/>
        </w:rPr>
        <w:t>系统稳定性：利用RT-Thread内核组件，实现线程间同步通信，以及优先级编排，避免交互外设影响主功率控制层，导致系统故障甚至硬件损坏。</w:t>
      </w:r>
    </w:p>
    <w:p w14:paraId="23F7D801">
      <w:pPr>
        <w:pStyle w:val="3"/>
        <w:numPr>
          <w:ilvl w:val="1"/>
          <w:numId w:val="2"/>
        </w:numPr>
        <w:bidi w:val="0"/>
      </w:pPr>
      <w:r>
        <w:rPr>
          <w:rFonts w:hint="eastAsia"/>
        </w:rPr>
        <w:t>应用领域</w:t>
      </w:r>
    </w:p>
    <w:p w14:paraId="05BFF748">
      <w:pPr>
        <w:pStyle w:val="16"/>
        <w:numPr>
          <w:ilvl w:val="0"/>
          <w:numId w:val="0"/>
        </w:numPr>
        <w:jc w:val="center"/>
      </w:pPr>
      <w:r>
        <w:drawing>
          <wp:inline distT="0" distB="0" distL="114300" distR="114300">
            <wp:extent cx="4074160" cy="2006600"/>
            <wp:effectExtent l="0" t="0" r="2540" b="0"/>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13"/>
                    <a:stretch>
                      <a:fillRect/>
                    </a:stretch>
                  </pic:blipFill>
                  <pic:spPr>
                    <a:xfrm>
                      <a:off x="0" y="0"/>
                      <a:ext cx="4074160" cy="2006600"/>
                    </a:xfrm>
                    <a:prstGeom prst="rect">
                      <a:avLst/>
                    </a:prstGeom>
                    <a:noFill/>
                    <a:ln>
                      <a:noFill/>
                    </a:ln>
                  </pic:spPr>
                </pic:pic>
              </a:graphicData>
            </a:graphic>
          </wp:inline>
        </w:drawing>
      </w:r>
    </w:p>
    <w:p w14:paraId="6D6EAF33">
      <w:pPr>
        <w:pStyle w:val="16"/>
        <w:numPr>
          <w:ilvl w:val="0"/>
          <w:numId w:val="0"/>
        </w:numPr>
        <w:jc w:val="center"/>
      </w:pPr>
      <w:r>
        <w:drawing>
          <wp:inline distT="0" distB="0" distL="114300" distR="114300">
            <wp:extent cx="5273675" cy="1113155"/>
            <wp:effectExtent l="0" t="0" r="9525" b="4445"/>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14"/>
                    <a:stretch>
                      <a:fillRect/>
                    </a:stretch>
                  </pic:blipFill>
                  <pic:spPr>
                    <a:xfrm>
                      <a:off x="0" y="0"/>
                      <a:ext cx="5273675" cy="1113155"/>
                    </a:xfrm>
                    <a:prstGeom prst="rect">
                      <a:avLst/>
                    </a:prstGeom>
                    <a:noFill/>
                    <a:ln>
                      <a:noFill/>
                    </a:ln>
                  </pic:spPr>
                </pic:pic>
              </a:graphicData>
            </a:graphic>
          </wp:inline>
        </w:drawing>
      </w:r>
    </w:p>
    <w:p w14:paraId="6D5E681A">
      <w:pPr>
        <w:pStyle w:val="16"/>
        <w:numPr>
          <w:ilvl w:val="0"/>
          <w:numId w:val="0"/>
        </w:numPr>
        <w:ind w:firstLine="420" w:firstLineChars="0"/>
        <w:jc w:val="both"/>
        <w:rPr>
          <w:rFonts w:hint="eastAsia"/>
        </w:rPr>
      </w:pPr>
      <w:r>
        <w:rPr>
          <w:rFonts w:hint="eastAsia"/>
        </w:rPr>
        <w:t>本系统面向多能源供电条件下的三相无刷电机驱动与逆变功率输出场景，适用于轻型电动车、电动工具、机器人关节、无人平台动力系统及储能型交流输出设备。此类场景通常同时包含主动力电池、辅助电池、传感器与通信单元，负载功率变化快，且要求现场调参、故障保护和运行状态可观测。传统裸机控制或单一逆变平台难以同时满足功率流调度与复杂外设管理需求。本设计引入 RT-Thread 后，可将电机控制、端口功率分配、交互显示、串口调试通信和故障上报组织为可扩展的实时系统，使装置不仅能完成电机驱动，也具备现场测试、状态监测、模块扩展和后续移植能力，适合作为多端口电机驱动与混合供电功率管理平台。</w:t>
      </w:r>
    </w:p>
    <w:p w14:paraId="642F6BCC">
      <w:pPr>
        <w:pStyle w:val="16"/>
        <w:numPr>
          <w:ilvl w:val="0"/>
          <w:numId w:val="0"/>
        </w:numPr>
        <w:ind w:firstLine="420" w:firstLineChars="0"/>
        <w:jc w:val="both"/>
        <w:rPr>
          <w:rFonts w:hint="eastAsia"/>
        </w:rPr>
      </w:pPr>
    </w:p>
    <w:p w14:paraId="3330044E">
      <w:pPr>
        <w:pStyle w:val="3"/>
        <w:numPr>
          <w:ilvl w:val="1"/>
          <w:numId w:val="2"/>
        </w:numPr>
        <w:bidi w:val="0"/>
      </w:pPr>
      <w:r>
        <w:rPr>
          <w:rFonts w:hint="eastAsia"/>
        </w:rPr>
        <w:t>主要技术特点</w:t>
      </w:r>
    </w:p>
    <w:p w14:paraId="0E4DDA1A">
      <w:pPr>
        <w:pStyle w:val="16"/>
        <w:rPr>
          <w:rFonts w:hint="eastAsia" w:cs="Times New Roman"/>
        </w:rPr>
      </w:pPr>
      <w:r>
        <w:rPr>
          <w:rFonts w:hint="eastAsia" w:cs="Times New Roman"/>
        </w:rPr>
        <w:t>本系统首先采用基于 RT-Thread 的分层实时控制架构。EPWM 触发、ADC-DMA 采样、控制 ISR 与 PDSVM 运算构成硬实时快路径；按键、OLED、串口 shell、运行遥测、故障处理和通信由线程、事件、互斥量、ringbuffer 与设备框架管理，从而隔离低速外设对功率控制环的影响。</w:t>
      </w:r>
    </w:p>
    <w:p w14:paraId="30CCE263">
      <w:pPr>
        <w:pStyle w:val="16"/>
        <w:rPr>
          <w:rFonts w:hint="eastAsia" w:cs="Times New Roman"/>
        </w:rPr>
      </w:pPr>
      <w:r>
        <w:rPr>
          <w:rFonts w:hint="eastAsia" w:cs="Times New Roman"/>
        </w:rPr>
        <w:t xml:space="preserve">硬件方面，系统采用 NPC 型单级式三电平逆变拓扑，连接高压主电池与低压辅助电池两个直流端口，并通过 </w:t>
      </w:r>
      <w:r>
        <w:rPr>
          <w:rFonts w:hint="eastAsia" w:cs="Times New Roman"/>
          <w:lang w:val="en-US" w:eastAsia="zh-CN"/>
        </w:rPr>
        <w:t>SVM与载波生成PWM波形来</w:t>
      </w:r>
      <w:r>
        <w:rPr>
          <w:rFonts w:hint="eastAsia" w:cs="Times New Roman"/>
        </w:rPr>
        <w:t>形成三相上下桥臂 PWM 输出。PDSVM 在同一开关周期内完成交流侧电压合成与双直流端口功率分配，使高压端、低压端和三相电机之间无需额外 DC/DC 级即可实现能量调度，降低转换损耗、器件成本和级联系统控制延迟。</w:t>
      </w:r>
    </w:p>
    <w:p w14:paraId="789A3A34">
      <w:pPr>
        <w:pStyle w:val="3"/>
        <w:numPr>
          <w:ilvl w:val="1"/>
          <w:numId w:val="2"/>
        </w:numPr>
        <w:bidi w:val="0"/>
      </w:pPr>
      <w:r>
        <w:rPr>
          <w:rFonts w:hint="eastAsia"/>
        </w:rPr>
        <w:t>主要性能指标</w:t>
      </w:r>
    </w:p>
    <w:tbl>
      <w:tblPr>
        <w:tblStyle w:val="13"/>
        <w:tblpPr w:leftFromText="180" w:rightFromText="180" w:vertAnchor="text" w:horzAnchor="page" w:tblpX="1769" w:tblpY="46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7099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C820B02">
            <w:pPr>
              <w:pStyle w:val="16"/>
              <w:jc w:val="center"/>
              <w:rPr>
                <w:rFonts w:hint="default" w:eastAsia="宋体" w:cs="Times New Roman"/>
                <w:b/>
                <w:bCs/>
                <w:vertAlign w:val="baseline"/>
                <w:lang w:val="en-US" w:eastAsia="zh-CN"/>
              </w:rPr>
            </w:pPr>
            <w:r>
              <w:rPr>
                <w:rFonts w:hint="eastAsia" w:cs="Times New Roman"/>
                <w:b/>
                <w:bCs/>
                <w:vertAlign w:val="baseline"/>
                <w:lang w:val="en-US" w:eastAsia="zh-CN"/>
              </w:rPr>
              <w:t>指标</w:t>
            </w:r>
          </w:p>
        </w:tc>
        <w:tc>
          <w:tcPr>
            <w:tcW w:w="4261" w:type="dxa"/>
          </w:tcPr>
          <w:p w14:paraId="4E2F395B">
            <w:pPr>
              <w:pStyle w:val="16"/>
              <w:ind w:left="0" w:leftChars="0" w:firstLine="0" w:firstLineChars="0"/>
              <w:jc w:val="center"/>
              <w:rPr>
                <w:rFonts w:hint="default" w:eastAsia="宋体" w:cs="Times New Roman"/>
                <w:b/>
                <w:bCs/>
                <w:vertAlign w:val="baseline"/>
                <w:lang w:val="en-US" w:eastAsia="zh-CN"/>
              </w:rPr>
            </w:pPr>
            <w:r>
              <w:rPr>
                <w:rFonts w:hint="eastAsia" w:cs="Times New Roman"/>
                <w:b/>
                <w:bCs/>
                <w:vertAlign w:val="baseline"/>
                <w:lang w:val="en-US" w:eastAsia="zh-CN"/>
              </w:rPr>
              <w:t>目标参数</w:t>
            </w:r>
          </w:p>
        </w:tc>
      </w:tr>
      <w:tr w14:paraId="1C8B5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59BA2609">
            <w:pPr>
              <w:pStyle w:val="16"/>
              <w:ind w:firstLine="480" w:firstLineChars="200"/>
              <w:jc w:val="center"/>
              <w:rPr>
                <w:rFonts w:hint="default" w:ascii="Times New Roman" w:hAnsi="Times New Roman" w:eastAsia="宋体" w:cs="Times New Roman"/>
                <w:kern w:val="2"/>
                <w:sz w:val="24"/>
                <w:szCs w:val="22"/>
                <w:vertAlign w:val="baseline"/>
                <w:lang w:val="en-US" w:eastAsia="zh-CN" w:bidi="ar-SA"/>
              </w:rPr>
            </w:pPr>
            <w:r>
              <w:rPr>
                <w:rFonts w:hint="default" w:eastAsia="宋体" w:cs="Times New Roman"/>
                <w:vertAlign w:val="baseline"/>
                <w:lang w:val="en-US" w:eastAsia="zh-CN"/>
              </w:rPr>
              <w:t>线程切换</w:t>
            </w:r>
          </w:p>
        </w:tc>
        <w:tc>
          <w:tcPr>
            <w:tcW w:w="4261" w:type="dxa"/>
            <w:shd w:val="clear" w:color="auto" w:fill="auto"/>
            <w:vAlign w:val="top"/>
          </w:tcPr>
          <w:p w14:paraId="303FFACE">
            <w:pPr>
              <w:pStyle w:val="16"/>
              <w:ind w:left="0" w:leftChars="0" w:firstLine="0" w:firstLineChars="0"/>
              <w:jc w:val="center"/>
              <w:rPr>
                <w:rFonts w:hint="default" w:ascii="Times New Roman" w:hAnsi="Times New Roman" w:eastAsia="宋体" w:cs="Times New Roman"/>
                <w:kern w:val="2"/>
                <w:sz w:val="24"/>
                <w:szCs w:val="22"/>
                <w:vertAlign w:val="baseline"/>
                <w:lang w:val="en-US" w:eastAsia="zh-CN" w:bidi="ar-SA"/>
              </w:rPr>
            </w:pPr>
            <w:r>
              <w:rPr>
                <w:rFonts w:hint="default" w:eastAsia="宋体" w:cs="Times New Roman"/>
                <w:vertAlign w:val="baseline"/>
                <w:lang w:val="en-US" w:eastAsia="zh-CN"/>
              </w:rPr>
              <w:t>RT-Thread 1 kHz tick；400 MHz下切换开销预测1-3 us，时间片粒度1 ms</w:t>
            </w:r>
          </w:p>
        </w:tc>
      </w:tr>
      <w:tr w14:paraId="4EC52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17D051A8">
            <w:pPr>
              <w:pStyle w:val="16"/>
              <w:ind w:firstLine="480" w:firstLineChars="200"/>
              <w:jc w:val="center"/>
              <w:rPr>
                <w:rFonts w:hint="default" w:ascii="Times New Roman" w:hAnsi="Times New Roman" w:eastAsia="宋体" w:cs="Times New Roman"/>
                <w:kern w:val="2"/>
                <w:sz w:val="24"/>
                <w:szCs w:val="22"/>
                <w:vertAlign w:val="baseline"/>
                <w:lang w:val="en-US" w:eastAsia="zh-CN" w:bidi="ar-SA"/>
              </w:rPr>
            </w:pPr>
            <w:r>
              <w:rPr>
                <w:rFonts w:hint="default" w:eastAsia="宋体" w:cs="Times New Roman"/>
                <w:vertAlign w:val="baseline"/>
                <w:lang w:val="en-US" w:eastAsia="zh-CN"/>
              </w:rPr>
              <w:t>ADC采样</w:t>
            </w:r>
          </w:p>
        </w:tc>
        <w:tc>
          <w:tcPr>
            <w:tcW w:w="4261" w:type="dxa"/>
            <w:shd w:val="clear" w:color="auto" w:fill="auto"/>
            <w:vAlign w:val="top"/>
          </w:tcPr>
          <w:p w14:paraId="712B3959">
            <w:pPr>
              <w:pStyle w:val="16"/>
              <w:ind w:left="0" w:leftChars="0" w:firstLine="0" w:firstLineChars="0"/>
              <w:jc w:val="center"/>
              <w:rPr>
                <w:rFonts w:hint="default" w:ascii="Times New Roman" w:hAnsi="Times New Roman" w:eastAsia="宋体" w:cs="Times New Roman"/>
                <w:kern w:val="2"/>
                <w:sz w:val="24"/>
                <w:szCs w:val="22"/>
                <w:vertAlign w:val="baseline"/>
                <w:lang w:val="en-US" w:eastAsia="zh-CN" w:bidi="ar-SA"/>
              </w:rPr>
            </w:pPr>
            <w:r>
              <w:rPr>
                <w:rFonts w:hint="default" w:eastAsia="宋体" w:cs="Times New Roman"/>
                <w:vertAlign w:val="baseline"/>
                <w:lang w:val="en-US" w:eastAsia="zh-CN"/>
              </w:rPr>
              <w:t>10通道DMA，约100 kframe/s，控制10 kHz有约10倍裕量</w:t>
            </w:r>
          </w:p>
        </w:tc>
      </w:tr>
      <w:tr w14:paraId="71A82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1F76A62C">
            <w:pPr>
              <w:pStyle w:val="16"/>
              <w:ind w:firstLine="480" w:firstLineChars="200"/>
              <w:jc w:val="center"/>
              <w:rPr>
                <w:rFonts w:hint="default" w:ascii="Times New Roman" w:hAnsi="Times New Roman" w:eastAsia="宋体" w:cs="Times New Roman"/>
                <w:kern w:val="2"/>
                <w:sz w:val="24"/>
                <w:szCs w:val="22"/>
                <w:vertAlign w:val="baseline"/>
                <w:lang w:val="en-US" w:eastAsia="zh-CN" w:bidi="ar-SA"/>
              </w:rPr>
            </w:pPr>
            <w:r>
              <w:rPr>
                <w:rFonts w:hint="default" w:eastAsia="宋体" w:cs="Times New Roman"/>
                <w:vertAlign w:val="baseline"/>
                <w:lang w:val="en-US" w:eastAsia="zh-CN"/>
              </w:rPr>
              <w:t>控制响应</w:t>
            </w:r>
          </w:p>
        </w:tc>
        <w:tc>
          <w:tcPr>
            <w:tcW w:w="4261" w:type="dxa"/>
            <w:shd w:val="clear" w:color="auto" w:fill="auto"/>
            <w:vAlign w:val="top"/>
          </w:tcPr>
          <w:p w14:paraId="50862720">
            <w:pPr>
              <w:pStyle w:val="16"/>
              <w:ind w:left="0" w:leftChars="0" w:firstLine="0" w:firstLineChars="0"/>
              <w:jc w:val="center"/>
              <w:rPr>
                <w:rFonts w:hint="default" w:ascii="Times New Roman" w:hAnsi="Times New Roman" w:eastAsia="宋体" w:cs="Times New Roman"/>
                <w:kern w:val="2"/>
                <w:sz w:val="24"/>
                <w:szCs w:val="22"/>
                <w:vertAlign w:val="baseline"/>
                <w:lang w:val="en-US" w:eastAsia="zh-CN" w:bidi="ar-SA"/>
              </w:rPr>
            </w:pPr>
            <w:r>
              <w:rPr>
                <w:rFonts w:hint="default" w:eastAsia="宋体" w:cs="Times New Roman"/>
                <w:vertAlign w:val="baseline"/>
                <w:lang w:val="en-US" w:eastAsia="zh-CN"/>
              </w:rPr>
              <w:t>SVM/FOC ISR 10 kHz，周期100 us；PWM 30 kHz</w:t>
            </w:r>
          </w:p>
        </w:tc>
      </w:tr>
      <w:tr w14:paraId="2ADE6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0329C6AE">
            <w:pPr>
              <w:pStyle w:val="16"/>
              <w:ind w:firstLine="480" w:firstLineChars="200"/>
              <w:jc w:val="center"/>
              <w:rPr>
                <w:rFonts w:hint="default" w:ascii="Times New Roman" w:hAnsi="Times New Roman" w:eastAsia="宋体" w:cs="Times New Roman"/>
                <w:kern w:val="2"/>
                <w:sz w:val="24"/>
                <w:szCs w:val="22"/>
                <w:vertAlign w:val="baseline"/>
                <w:lang w:val="en-US" w:eastAsia="zh-CN" w:bidi="ar-SA"/>
              </w:rPr>
            </w:pPr>
            <w:r>
              <w:rPr>
                <w:rFonts w:hint="default" w:eastAsia="宋体" w:cs="Times New Roman"/>
                <w:vertAlign w:val="baseline"/>
                <w:lang w:val="en-US" w:eastAsia="zh-CN"/>
              </w:rPr>
              <w:t>功率分配能力</w:t>
            </w:r>
          </w:p>
        </w:tc>
        <w:tc>
          <w:tcPr>
            <w:tcW w:w="4261" w:type="dxa"/>
            <w:shd w:val="clear" w:color="auto" w:fill="auto"/>
            <w:vAlign w:val="top"/>
          </w:tcPr>
          <w:p w14:paraId="18D291B1">
            <w:pPr>
              <w:pStyle w:val="16"/>
              <w:ind w:left="0" w:leftChars="0" w:firstLine="0" w:firstLineChars="0"/>
              <w:jc w:val="center"/>
              <w:rPr>
                <w:rFonts w:hint="default" w:ascii="Times New Roman" w:hAnsi="Times New Roman" w:eastAsia="宋体" w:cs="Times New Roman"/>
                <w:kern w:val="2"/>
                <w:sz w:val="24"/>
                <w:szCs w:val="22"/>
                <w:vertAlign w:val="baseline"/>
                <w:lang w:val="en-US" w:eastAsia="zh-CN" w:bidi="ar-SA"/>
              </w:rPr>
            </w:pPr>
            <w:r>
              <w:rPr>
                <w:rFonts w:hint="default" w:eastAsia="宋体" w:cs="Times New Roman"/>
                <w:vertAlign w:val="baseline"/>
                <w:lang w:val="en-US" w:eastAsia="zh-CN"/>
              </w:rPr>
              <w:t>xi调节可使HV/LV承担比例连续迁移；</w:t>
            </w:r>
          </w:p>
        </w:tc>
      </w:tr>
    </w:tbl>
    <w:p w14:paraId="2A951984">
      <w:pPr>
        <w:pStyle w:val="16"/>
        <w:ind w:left="0" w:leftChars="0" w:firstLine="0" w:firstLineChars="0"/>
        <w:rPr>
          <w:rFonts w:hint="default" w:eastAsia="宋体" w:cs="Times New Roman"/>
          <w:lang w:val="en-US" w:eastAsia="zh-CN"/>
        </w:rPr>
      </w:pPr>
    </w:p>
    <w:p w14:paraId="594A2E9E">
      <w:pPr>
        <w:pStyle w:val="3"/>
        <w:numPr>
          <w:ilvl w:val="1"/>
          <w:numId w:val="2"/>
        </w:numPr>
        <w:bidi w:val="0"/>
      </w:pPr>
      <w:r>
        <w:rPr>
          <w:rFonts w:hint="eastAsia"/>
        </w:rPr>
        <w:t>主要创新点</w:t>
      </w:r>
    </w:p>
    <w:p w14:paraId="18FFEC24">
      <w:pPr>
        <w:numPr>
          <w:ilvl w:val="0"/>
          <w:numId w:val="4"/>
        </w:numPr>
        <w:ind w:left="845" w:leftChars="0" w:hanging="425" w:firstLineChars="0"/>
        <w:rPr>
          <w:rFonts w:cs="Times New Roman"/>
        </w:rPr>
      </w:pPr>
      <w:r>
        <w:rPr>
          <w:rFonts w:hint="eastAsia" w:cs="Times New Roman"/>
          <w:lang w:val="en-US" w:eastAsia="zh-CN"/>
        </w:rPr>
        <w:t>单级式多端口硬件拓扑设计：在实现多直流端口功率调度的前提下，减少功率转换级。</w:t>
      </w:r>
    </w:p>
    <w:p w14:paraId="54B125E0">
      <w:pPr>
        <w:numPr>
          <w:ilvl w:val="0"/>
          <w:numId w:val="4"/>
        </w:numPr>
        <w:ind w:left="845" w:leftChars="0" w:hanging="425" w:firstLineChars="0"/>
        <w:rPr>
          <w:rFonts w:cs="Times New Roman"/>
        </w:rPr>
      </w:pPr>
      <w:r>
        <w:rPr>
          <w:rFonts w:hint="eastAsia" w:cs="Times New Roman"/>
          <w:lang w:val="en-US" w:eastAsia="zh-CN"/>
        </w:rPr>
        <w:t>直流端口功率分配算法实现：在单级式拓扑内通过算法实现直流端口间的灵活功率分配。</w:t>
      </w:r>
    </w:p>
    <w:p w14:paraId="3273AB4D">
      <w:pPr>
        <w:numPr>
          <w:ilvl w:val="0"/>
          <w:numId w:val="4"/>
        </w:numPr>
        <w:ind w:left="845" w:leftChars="0" w:hanging="425" w:firstLineChars="0"/>
        <w:rPr>
          <w:rFonts w:cs="Times New Roman"/>
        </w:rPr>
      </w:pPr>
      <w:r>
        <w:rPr>
          <w:rFonts w:hint="eastAsia" w:cs="Times New Roman"/>
          <w:lang w:val="en-US" w:eastAsia="zh-CN"/>
        </w:rPr>
        <w:t>RT-Thread组件利用以保证系统稳定性：利用进程通信、事件、log线程、guard线程与dump log来保证系统稳定，以及问题可定位的能力。</w:t>
      </w:r>
    </w:p>
    <w:p w14:paraId="7C55F1AD">
      <w:pPr>
        <w:numPr>
          <w:ilvl w:val="0"/>
          <w:numId w:val="4"/>
        </w:numPr>
        <w:ind w:left="845" w:leftChars="0" w:hanging="425" w:firstLineChars="0"/>
        <w:rPr>
          <w:rFonts w:cs="Times New Roman"/>
        </w:rPr>
      </w:pPr>
      <w:r>
        <w:rPr>
          <w:rFonts w:hint="eastAsia" w:cs="Times New Roman"/>
          <w:lang w:val="en-US" w:eastAsia="zh-CN"/>
        </w:rPr>
        <w:t>对RT-Thread适配NS800外设与提交PR以提升系统复用能力。</w:t>
      </w:r>
    </w:p>
    <w:p w14:paraId="0DC3FCBC">
      <w:pPr>
        <w:pStyle w:val="3"/>
        <w:numPr>
          <w:ilvl w:val="1"/>
          <w:numId w:val="2"/>
        </w:numPr>
        <w:bidi w:val="0"/>
      </w:pPr>
      <w:r>
        <w:rPr>
          <w:rFonts w:hint="eastAsia"/>
        </w:rPr>
        <w:t>设计流程</w:t>
      </w:r>
    </w:p>
    <w:p w14:paraId="2D12CFE9">
      <w:pPr>
        <w:ind w:left="0" w:leftChars="0" w:firstLine="0" w:firstLineChars="0"/>
        <w:jc w:val="center"/>
      </w:pPr>
      <w:r>
        <w:drawing>
          <wp:inline distT="0" distB="0" distL="114300" distR="114300">
            <wp:extent cx="5271135" cy="998220"/>
            <wp:effectExtent l="0" t="0" r="12065" b="5080"/>
            <wp:docPr id="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pic:cNvPicPr>
                      <a:picLocks noChangeAspect="1"/>
                    </pic:cNvPicPr>
                  </pic:nvPicPr>
                  <pic:blipFill>
                    <a:blip r:embed="rId15"/>
                    <a:stretch>
                      <a:fillRect/>
                    </a:stretch>
                  </pic:blipFill>
                  <pic:spPr>
                    <a:xfrm>
                      <a:off x="0" y="0"/>
                      <a:ext cx="5271135" cy="998220"/>
                    </a:xfrm>
                    <a:prstGeom prst="rect">
                      <a:avLst/>
                    </a:prstGeom>
                    <a:noFill/>
                    <a:ln>
                      <a:noFill/>
                    </a:ln>
                  </pic:spPr>
                </pic:pic>
              </a:graphicData>
            </a:graphic>
          </wp:inline>
        </w:drawing>
      </w:r>
    </w:p>
    <w:p w14:paraId="734114EC">
      <w:pPr>
        <w:ind w:left="0" w:leftChars="0" w:firstLine="420" w:firstLineChars="0"/>
        <w:jc w:val="both"/>
      </w:pPr>
      <w:r>
        <w:rPr>
          <w:rFonts w:hint="eastAsia"/>
        </w:rPr>
        <w:t>本系统按“需求定义、软件分层、实时控制、功率分配、硬件执行”的流程设计。首先面向双直流端口与三相电机的功率流控需求，建立基于 RT-Thread 的分层软件架构，将交互、显示、调试、故障和通信等低速任务隔离在系统服务层。随后由 EPWM 触发 ADC-DMA 采样，并在控制 ISR 中完成 PDSVM 运算，实现交流电压合成与双端口功率分配，最终驱动 NPC 三电平功率级完成能量转换。</w:t>
      </w:r>
    </w:p>
    <w:p w14:paraId="45BEE547">
      <w:pPr>
        <w:pStyle w:val="2"/>
        <w:bidi w:val="0"/>
      </w:pPr>
      <w:r>
        <w:rPr>
          <w:rFonts w:hint="eastAsia"/>
        </w:rPr>
        <w:t xml:space="preserve">第二部分 </w:t>
      </w:r>
      <w:r>
        <w:t xml:space="preserve"> </w:t>
      </w:r>
      <w:r>
        <w:rPr>
          <w:rFonts w:hint="eastAsia"/>
        </w:rPr>
        <w:t>系统组成及功能说明</w:t>
      </w:r>
    </w:p>
    <w:p w14:paraId="476EA125">
      <w:pPr>
        <w:pStyle w:val="16"/>
        <w:numPr>
          <w:ilvl w:val="0"/>
          <w:numId w:val="2"/>
        </w:numPr>
        <w:ind w:firstLineChars="0"/>
        <w:rPr>
          <w:rFonts w:cs="Times New Roman"/>
          <w:vanish/>
        </w:rPr>
      </w:pPr>
    </w:p>
    <w:p w14:paraId="7A28E5CD">
      <w:pPr>
        <w:pStyle w:val="3"/>
        <w:numPr>
          <w:ilvl w:val="1"/>
          <w:numId w:val="2"/>
        </w:numPr>
        <w:bidi w:val="0"/>
      </w:pPr>
      <w:r>
        <w:rPr>
          <w:rFonts w:hint="eastAsia"/>
        </w:rPr>
        <w:t>整体介绍</w:t>
      </w:r>
    </w:p>
    <w:p w14:paraId="728735FA">
      <w:pPr>
        <w:pStyle w:val="16"/>
        <w:ind w:left="420" w:firstLine="0" w:firstLineChars="0"/>
      </w:pPr>
      <w:r>
        <w:drawing>
          <wp:inline distT="0" distB="0" distL="114300" distR="114300">
            <wp:extent cx="5264150" cy="3972560"/>
            <wp:effectExtent l="0" t="0" r="19050" b="15240"/>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16"/>
                    <a:stretch>
                      <a:fillRect/>
                    </a:stretch>
                  </pic:blipFill>
                  <pic:spPr>
                    <a:xfrm>
                      <a:off x="0" y="0"/>
                      <a:ext cx="5264150" cy="3972560"/>
                    </a:xfrm>
                    <a:prstGeom prst="rect">
                      <a:avLst/>
                    </a:prstGeom>
                    <a:noFill/>
                    <a:ln>
                      <a:noFill/>
                    </a:ln>
                  </pic:spPr>
                </pic:pic>
              </a:graphicData>
            </a:graphic>
          </wp:inline>
        </w:drawing>
      </w:r>
    </w:p>
    <w:p w14:paraId="69A2D057">
      <w:pPr>
        <w:pStyle w:val="16"/>
        <w:ind w:left="420" w:leftChars="0" w:firstLine="420" w:firstLineChars="0"/>
        <w:rPr>
          <w:rFonts w:cs="Times New Roman"/>
        </w:rPr>
      </w:pPr>
      <w:r>
        <w:rPr>
          <w:rFonts w:hint="eastAsia"/>
        </w:rPr>
        <w:t>本系统采用“RT-Thread 系统服务层 + 硬实时控制层”的软件架构。RT-Thread 负责线程调度、事件通信、互斥保护、设备抽象和调试接口，将按键、OLED、串口 shell、遥测、故障处理和通信等低速任务统一管理，避免其影响主控制环。硬实时控制层由 EPWM 触发、ADC-DMA 采样、控制 ISR、PDSVM 运算和 PWM 更新组成，直接完成采样、功率分配计算与三相桥臂驱动。该架构使系统同时具备实时控制能力、外设扩展能力和在线调试能力。</w:t>
      </w:r>
    </w:p>
    <w:p w14:paraId="261F8069">
      <w:pPr>
        <w:pStyle w:val="3"/>
        <w:numPr>
          <w:ilvl w:val="1"/>
          <w:numId w:val="2"/>
        </w:numPr>
        <w:bidi w:val="0"/>
        <w:rPr>
          <w:rFonts w:hint="eastAsia"/>
        </w:rPr>
      </w:pPr>
      <w:r>
        <w:rPr>
          <w:rFonts w:hint="eastAsia"/>
        </w:rPr>
        <w:t>硬件系统介绍</w:t>
      </w:r>
    </w:p>
    <w:p w14:paraId="218DF7B7">
      <w:pPr>
        <w:pStyle w:val="4"/>
        <w:bidi w:val="0"/>
        <w:rPr>
          <w:rFonts w:hint="eastAsia"/>
        </w:rPr>
      </w:pPr>
      <w:r>
        <w:rPr>
          <w:rFonts w:hint="eastAsia"/>
        </w:rPr>
        <w:t>2.2.1 硬件整体介绍</w:t>
      </w:r>
    </w:p>
    <w:p w14:paraId="62646E33">
      <w:pPr>
        <w:ind w:firstLine="480"/>
      </w:pPr>
      <w:r>
        <w:t>本系统的硬件架构以纳芯微 NS800RT7P65 实时控制芯片为核心，主要由主功率回路、信号采样与调理电路、数字控制核心及隔离驱动电路四个部分组成，实现了强弱电的物理隔离与功率的独立调控</w:t>
      </w:r>
      <w:r>
        <w:rPr>
          <w:rFonts w:hint="eastAsia"/>
        </w:rPr>
        <w:t>，整体框图如图1所示</w:t>
      </w:r>
      <w:r>
        <w:t>。</w:t>
      </w:r>
    </w:p>
    <w:p w14:paraId="41E48680">
      <w:pPr>
        <w:ind w:firstLine="480"/>
      </w:pPr>
      <w:r>
        <w:t>在主功率回路中，系统采用两组独立的直流电源进行供电。逆变级由三个独立</w:t>
      </w:r>
      <w:r>
        <w:rPr>
          <w:rFonts w:hint="eastAsia"/>
        </w:rPr>
        <w:t>的</w:t>
      </w:r>
      <w:r>
        <w:t>三电平</w:t>
      </w:r>
      <w:r>
        <w:rPr>
          <w:rFonts w:hint="eastAsia"/>
        </w:rPr>
        <w:t>变换器</w:t>
      </w:r>
      <w:r>
        <w:t>模块组成，各模块输出端通过 Y 型接法将输入直流电逆变并驱动三相电机定子绕组。</w:t>
      </w:r>
    </w:p>
    <w:p w14:paraId="7708AC85">
      <w:pPr>
        <w:ind w:firstLine="480"/>
      </w:pPr>
      <w:r>
        <w:t>在信号采样回路中，电压与电流传感器实时采集直流侧的 4 路输入信号以及交流侧的 6 路输出信号。传感器输出的模拟信号经过低通滤波、差分缩放和电平偏置抬升等调理后，输入至控制芯片的模数转换通道。</w:t>
      </w:r>
    </w:p>
    <w:p w14:paraId="22CF6A39">
      <w:pPr>
        <w:ind w:firstLine="480"/>
      </w:pPr>
      <w:r>
        <w:t>在控制与驱动回路中，NS800RT7P65 芯片依托内部同步 ADC 对这 10 路反馈信号进行多通道同步采样，并在内核中实时执行位置解析、双电源功率调配指令及电机双闭环矢量控制算法，计算出对应的主功率管导通占空比。生成的高频 ePWM 调制信号经过驱动芯片进行电气隔离与功率放大后，分别驱动三个逆变模块中各个 MOS 管的栅极，最终完成从信号采集、算法控制到功率输出的闭环控制。</w:t>
      </w:r>
    </w:p>
    <w:p w14:paraId="50A82AA5">
      <w:pPr>
        <w:pStyle w:val="22"/>
      </w:pPr>
      <w:r>
        <w:drawing>
          <wp:inline distT="0" distB="0" distL="0" distR="0">
            <wp:extent cx="5274310" cy="2817495"/>
            <wp:effectExtent l="0" t="0" r="2540" b="1905"/>
            <wp:docPr id="2388394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39417" name="图片 1"/>
                    <pic:cNvPicPr>
                      <a:picLocks noChangeAspect="1"/>
                    </pic:cNvPicPr>
                  </pic:nvPicPr>
                  <pic:blipFill>
                    <a:blip r:embed="rId17"/>
                    <a:stretch>
                      <a:fillRect/>
                    </a:stretch>
                  </pic:blipFill>
                  <pic:spPr>
                    <a:xfrm>
                      <a:off x="0" y="0"/>
                      <a:ext cx="5274310" cy="2817495"/>
                    </a:xfrm>
                    <a:prstGeom prst="rect">
                      <a:avLst/>
                    </a:prstGeom>
                  </pic:spPr>
                </pic:pic>
              </a:graphicData>
            </a:graphic>
          </wp:inline>
        </w:drawing>
      </w:r>
    </w:p>
    <w:p w14:paraId="258CCC60">
      <w:pPr>
        <w:pStyle w:val="4"/>
        <w:bidi w:val="0"/>
      </w:pPr>
      <w:r>
        <w:rPr>
          <w:rFonts w:hint="eastAsia"/>
        </w:rPr>
        <w:t>2.2.2</w:t>
      </w:r>
      <w:r>
        <w:t xml:space="preserve"> </w:t>
      </w:r>
      <w:r>
        <w:rPr>
          <w:rFonts w:hint="eastAsia"/>
        </w:rPr>
        <w:t>电路各模块介绍</w:t>
      </w:r>
    </w:p>
    <w:p w14:paraId="0802C352">
      <w:pPr>
        <w:pStyle w:val="22"/>
      </w:pPr>
      <w:r>
        <w:rPr>
          <w:rFonts w:hint="eastAsia"/>
        </w:rPr>
        <w:t>（1）功率电路</w:t>
      </w:r>
    </w:p>
    <w:p w14:paraId="035FACFD">
      <w:pPr>
        <w:ind w:firstLine="480"/>
      </w:pPr>
      <w:r>
        <w:rPr>
          <w:rFonts w:hint="eastAsia"/>
        </w:rPr>
        <w:t>功率电路包括三电平变换桥拓扑及其驱动电路、电源指示模块。</w:t>
      </w:r>
    </w:p>
    <w:p w14:paraId="644DDA9F">
      <w:pPr>
        <w:ind w:firstLine="480"/>
      </w:pPr>
      <w:r>
        <w:rPr>
          <w:rFonts w:hint="eastAsia"/>
        </w:rPr>
        <w:t>图1</w:t>
      </w:r>
      <w:r>
        <w:t>展示了一个标准</w:t>
      </w:r>
      <w:r>
        <w:rPr>
          <w:rFonts w:hint="eastAsia"/>
        </w:rPr>
        <w:t>的</w:t>
      </w:r>
      <w:r>
        <w:t>单桥臂中点钳位型三电平功率逆变电路。</w:t>
      </w:r>
      <w:r>
        <w:rPr>
          <w:rFonts w:hint="eastAsia"/>
        </w:rPr>
        <w:t>拓扑由</w:t>
      </w:r>
      <w:r>
        <w:t>开关器件 Q1、Q2、Q3、Q4 串联构成主桥臂，中点通过钳位二极管 D1 和 D2 连接至直流母线中点</w:t>
      </w:r>
      <w:r>
        <w:rPr>
          <w:rFonts w:hint="eastAsia"/>
        </w:rPr>
        <w:t>DC2</w:t>
      </w:r>
      <w:r>
        <w:t>。中间的 AC 接口即为高频三电平交流电压输出端。相较于传统两电平拓扑，三电平拓扑通过引入直流分压中点和钳位二极管，能够将功率开关管承受的电压应力直接斩半。</w:t>
      </w:r>
      <w:r>
        <w:rPr>
          <w:rFonts w:hint="eastAsia"/>
        </w:rPr>
        <w:t>同时，</w:t>
      </w:r>
      <w:r>
        <w:t>高压母线输入端配备了由大容量支撑电容与高频滤波电容组成的直流母线电容阵列，降低母线寄生电感引起的开关尖峰</w:t>
      </w:r>
      <w:r>
        <w:rPr>
          <w:rFonts w:hint="eastAsia"/>
        </w:rPr>
        <w:t>，</w:t>
      </w:r>
      <w:r>
        <w:t>旁路连接了高阻值均压电阻，确保上下半桥直流母线电压的静态平衡与关断后的安全放电。</w:t>
      </w:r>
    </w:p>
    <w:p w14:paraId="7D134A79">
      <w:pPr>
        <w:pStyle w:val="22"/>
        <w:keepNext/>
        <w:jc w:val="center"/>
      </w:pPr>
      <w:r>
        <w:rPr>
          <w:rFonts w:hint="eastAsia"/>
        </w:rPr>
        <w:t xml:space="preserve"> </w:t>
      </w:r>
      <w:r>
        <w:drawing>
          <wp:inline distT="0" distB="0" distL="0" distR="0">
            <wp:extent cx="4275455" cy="2112010"/>
            <wp:effectExtent l="0" t="0" r="0" b="2540"/>
            <wp:docPr id="1395346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4646" name="图片 1"/>
                    <pic:cNvPicPr>
                      <a:picLocks noChangeAspect="1"/>
                    </pic:cNvPicPr>
                  </pic:nvPicPr>
                  <pic:blipFill>
                    <a:blip r:embed="rId18"/>
                    <a:stretch>
                      <a:fillRect/>
                    </a:stretch>
                  </pic:blipFill>
                  <pic:spPr>
                    <a:xfrm>
                      <a:off x="0" y="0"/>
                      <a:ext cx="4283737" cy="2116081"/>
                    </a:xfrm>
                    <a:prstGeom prst="rect">
                      <a:avLst/>
                    </a:prstGeom>
                  </pic:spPr>
                </pic:pic>
              </a:graphicData>
            </a:graphic>
          </wp:inline>
        </w:drawing>
      </w:r>
    </w:p>
    <w:p w14:paraId="73E4071E">
      <w:pPr>
        <w:pStyle w:val="6"/>
        <w:ind w:firstLine="361"/>
        <w:rPr>
          <w:rFonts w:hint="eastAsia"/>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w:t>
      </w:r>
      <w:r>
        <w:fldChar w:fldCharType="end"/>
      </w:r>
      <w:r>
        <w:t>三电平功率逆变电路</w:t>
      </w:r>
    </w:p>
    <w:p w14:paraId="46535E5A">
      <w:pPr>
        <w:ind w:firstLine="480"/>
      </w:pPr>
      <w:r>
        <w:t xml:space="preserve">由于三电平桥臂中 Q1、Q2、Q3 的源极/发射极参考电位处于高频浮动状态，电路选用了 4 组完全电气隔离的微型 DC/DC 变压模块。模块由公共的前端 AUX_15V 供电，次级输出独立的正驱动电与负偏置电压。引入负压关断是能彻底防止主回路高频 </w:t>
      </w:r>
      <m:oMath>
        <m:r>
          <m:rPr/>
          <w:rPr>
            <w:rFonts w:ascii="Cambria Math" w:hAnsi="Cambria Math"/>
          </w:rPr>
          <m:t>dV/dt</m:t>
        </m:r>
      </m:oMath>
      <w:r>
        <w:t xml:space="preserve"> 通过器件米勒电容耦合引发的桥臂直通误导通。驱动采用</w:t>
      </w:r>
      <w:r>
        <w:rPr>
          <w:rFonts w:hint="eastAsia"/>
        </w:rPr>
        <w:t>了工业级可靠带隔离保护</w:t>
      </w:r>
      <w:r>
        <w:t>的</w:t>
      </w:r>
      <w:r>
        <w:rPr>
          <w:rFonts w:hint="eastAsia"/>
        </w:rPr>
        <w:t>栅极</w:t>
      </w:r>
      <w:r>
        <w:t>驱动芯片，集成了 DESAT 退饱和短路微秒级保护、主动米勒钳位以及独立充放电栅极电阻调节网络，构建了高可靠性与抗干扰能力的功率变换硬件底层。</w:t>
      </w:r>
    </w:p>
    <w:p w14:paraId="7E9A0538">
      <w:pPr>
        <w:pStyle w:val="22"/>
        <w:keepNext/>
        <w:jc w:val="center"/>
      </w:pPr>
      <w:r>
        <w:drawing>
          <wp:inline distT="0" distB="0" distL="0" distR="0">
            <wp:extent cx="4217670" cy="2552700"/>
            <wp:effectExtent l="0" t="0" r="0" b="0"/>
            <wp:docPr id="9826273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27374" name="图片 1"/>
                    <pic:cNvPicPr>
                      <a:picLocks noChangeAspect="1"/>
                    </pic:cNvPicPr>
                  </pic:nvPicPr>
                  <pic:blipFill>
                    <a:blip r:embed="rId19"/>
                    <a:stretch>
                      <a:fillRect/>
                    </a:stretch>
                  </pic:blipFill>
                  <pic:spPr>
                    <a:xfrm>
                      <a:off x="0" y="0"/>
                      <a:ext cx="4225756" cy="2557534"/>
                    </a:xfrm>
                    <a:prstGeom prst="rect">
                      <a:avLst/>
                    </a:prstGeom>
                  </pic:spPr>
                </pic:pic>
              </a:graphicData>
            </a:graphic>
          </wp:inline>
        </w:drawing>
      </w:r>
    </w:p>
    <w:p w14:paraId="2CEF374B">
      <w:pPr>
        <w:pStyle w:val="6"/>
        <w:ind w:firstLine="361"/>
        <w:rPr>
          <w:rFonts w:hint="eastAsia"/>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2</w:t>
      </w:r>
      <w:r>
        <w:fldChar w:fldCharType="end"/>
      </w:r>
      <w:r>
        <w:rPr>
          <w:rFonts w:hint="eastAsia"/>
        </w:rPr>
        <w:t>隔离驱动电源转换电路</w:t>
      </w:r>
    </w:p>
    <w:p w14:paraId="2739D56D">
      <w:pPr>
        <w:ind w:firstLine="480"/>
      </w:pPr>
      <w:r>
        <w:t>为了确保高压实验室调试的绝对安全，电路右侧配置了由LED 阵列。</w:t>
      </w:r>
      <w:r>
        <w:rPr>
          <w:rFonts w:hint="eastAsia"/>
        </w:rPr>
        <w:t>用于</w:t>
      </w:r>
      <w:r>
        <w:t>指示前端弱电的 AUX_15V 和 AUX_5V 状态，还能实时反映每一路次级浮动电源的工作状态，极大地方便了硬件焊接后的初次上电排查</w:t>
      </w:r>
      <w:r>
        <w:rPr>
          <w:rFonts w:hint="eastAsia"/>
        </w:rPr>
        <w:t>，电路设计如图3所示</w:t>
      </w:r>
      <w:r>
        <w:t>。</w:t>
      </w:r>
    </w:p>
    <w:p w14:paraId="0DAC865F">
      <w:pPr>
        <w:pStyle w:val="22"/>
        <w:keepNext/>
        <w:jc w:val="center"/>
      </w:pPr>
      <w:r>
        <w:drawing>
          <wp:inline distT="0" distB="0" distL="0" distR="0">
            <wp:extent cx="3333750" cy="2197100"/>
            <wp:effectExtent l="0" t="0" r="0" b="0"/>
            <wp:docPr id="1965491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91626" name="图片 1"/>
                    <pic:cNvPicPr>
                      <a:picLocks noChangeAspect="1"/>
                    </pic:cNvPicPr>
                  </pic:nvPicPr>
                  <pic:blipFill>
                    <a:blip r:embed="rId20"/>
                    <a:stretch>
                      <a:fillRect/>
                    </a:stretch>
                  </pic:blipFill>
                  <pic:spPr>
                    <a:xfrm>
                      <a:off x="0" y="0"/>
                      <a:ext cx="3345474" cy="2204828"/>
                    </a:xfrm>
                    <a:prstGeom prst="rect">
                      <a:avLst/>
                    </a:prstGeom>
                  </pic:spPr>
                </pic:pic>
              </a:graphicData>
            </a:graphic>
          </wp:inline>
        </w:drawing>
      </w:r>
    </w:p>
    <w:p w14:paraId="16353683">
      <w:pPr>
        <w:pStyle w:val="6"/>
        <w:ind w:firstLine="361"/>
        <w:rPr>
          <w:rFonts w:hint="eastAsia"/>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3</w:t>
      </w:r>
      <w:r>
        <w:fldChar w:fldCharType="end"/>
      </w:r>
      <w:r>
        <w:rPr>
          <w:rFonts w:hint="eastAsia"/>
        </w:rPr>
        <w:t>状态监控与指示模块</w:t>
      </w:r>
    </w:p>
    <w:p w14:paraId="474809F1">
      <w:pPr>
        <w:pStyle w:val="22"/>
      </w:pPr>
      <w:r>
        <w:rPr>
          <w:rFonts w:hint="eastAsia"/>
        </w:rPr>
        <w:drawing>
          <wp:inline distT="0" distB="0" distL="0" distR="0">
            <wp:extent cx="5274310" cy="3096260"/>
            <wp:effectExtent l="0" t="0" r="2540" b="8890"/>
            <wp:docPr id="11490725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72557" name="图片 3"/>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3096260"/>
                    </a:xfrm>
                    <a:prstGeom prst="rect">
                      <a:avLst/>
                    </a:prstGeom>
                  </pic:spPr>
                </pic:pic>
              </a:graphicData>
            </a:graphic>
          </wp:inline>
        </w:drawing>
      </w:r>
    </w:p>
    <w:p w14:paraId="13D6C037">
      <w:pPr>
        <w:pStyle w:val="6"/>
        <w:ind w:firstLine="361"/>
        <w:rPr>
          <w:rFonts w:hint="eastAsia"/>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4</w:t>
      </w:r>
      <w:r>
        <w:fldChar w:fldCharType="end"/>
      </w:r>
      <w:r>
        <w:rPr>
          <w:rFonts w:hint="eastAsia"/>
        </w:rPr>
        <w:t>功率电路PCB</w:t>
      </w:r>
    </w:p>
    <w:p w14:paraId="7E3F2BE2">
      <w:pPr>
        <w:pStyle w:val="22"/>
      </w:pPr>
      <w:r>
        <w:rPr>
          <w:rFonts w:hint="eastAsia"/>
        </w:rPr>
        <w:t>（2）交流采样电路</w:t>
      </w:r>
    </w:p>
    <w:p w14:paraId="0ECF076D">
      <w:pPr>
        <w:ind w:firstLine="480"/>
        <w:rPr>
          <w:rFonts w:cs="Times New Roman"/>
        </w:rPr>
      </w:pPr>
      <w:r>
        <w:rPr>
          <w:rFonts w:cs="Times New Roman"/>
        </w:rPr>
        <w:t>本系统设计有专用的交流电压和交流电流采样模块，用于对</w:t>
      </w:r>
      <w:r>
        <w:rPr>
          <w:rFonts w:hint="eastAsia" w:cs="Times New Roman"/>
        </w:rPr>
        <w:t>功率电路的输出</w:t>
      </w:r>
      <w:r>
        <w:rPr>
          <w:rFonts w:cs="Times New Roman"/>
        </w:rPr>
        <w:t>交流信号进行实时高精度采集。由于标准单片机</w:t>
      </w:r>
      <w:r>
        <w:rPr>
          <w:rFonts w:hint="eastAsia" w:cs="Times New Roman"/>
        </w:rPr>
        <w:t>的</w:t>
      </w:r>
      <w:r>
        <w:rPr>
          <w:rFonts w:cs="Times New Roman"/>
        </w:rPr>
        <w:t>模数转换器仅能采集单极性</w:t>
      </w:r>
      <w:r>
        <w:rPr>
          <w:rFonts w:hint="eastAsia" w:cs="Times New Roman"/>
        </w:rPr>
        <w:t>0~3V</w:t>
      </w:r>
      <w:r>
        <w:rPr>
          <w:rFonts w:cs="Times New Roman"/>
        </w:rPr>
        <w:t>正电压信号，而原始交流信号在以时间为轴时存在正、负半周，因此整体信号调理电路遵循</w:t>
      </w:r>
      <w:r>
        <w:rPr>
          <w:rFonts w:hint="eastAsia" w:cs="Times New Roman"/>
        </w:rPr>
        <w:t>“</w:t>
      </w:r>
      <w:r>
        <w:rPr>
          <w:rFonts w:cs="Times New Roman"/>
        </w:rPr>
        <w:t>隔离、偏置、放大、滤波</w:t>
      </w:r>
      <w:r>
        <w:rPr>
          <w:rFonts w:hint="eastAsia" w:cs="Times New Roman"/>
        </w:rPr>
        <w:t>”</w:t>
      </w:r>
      <w:r>
        <w:rPr>
          <w:rFonts w:cs="Times New Roman"/>
        </w:rPr>
        <w:t>的信号调理流程</w:t>
      </w:r>
      <w:r>
        <w:rPr>
          <w:rFonts w:hint="eastAsia" w:cs="Times New Roman"/>
        </w:rPr>
        <w:t>。</w:t>
      </w:r>
      <w:r>
        <w:rPr>
          <w:rFonts w:cs="Times New Roman"/>
        </w:rPr>
        <w:t>前端通过电压</w:t>
      </w:r>
      <w:r>
        <w:rPr>
          <w:rFonts w:hint="eastAsia" w:cs="Times New Roman"/>
        </w:rPr>
        <w:t>、</w:t>
      </w:r>
      <w:r>
        <w:rPr>
          <w:rFonts w:cs="Times New Roman"/>
        </w:rPr>
        <w:t>电流互感器实现强弱电的电气隔离，并在次级产生微弱的交流差分信号；电路利用REF351600DBVR高精度电压基准芯片产生稳定的+1.6V REF参考电压，将其作为直流偏置注入LM358DR运算放大器的核心差分放大网络中，将交变信号的中点抬升至正半轴1.6V处；该差分放大电路在大幅抑制共模电磁干扰的同时，</w:t>
      </w:r>
      <w:r>
        <w:rPr>
          <w:rFonts w:hint="eastAsia" w:cs="Times New Roman"/>
        </w:rPr>
        <w:t>并在</w:t>
      </w:r>
      <w:r>
        <w:rPr>
          <w:rFonts w:cs="Times New Roman"/>
        </w:rPr>
        <w:t>反馈通路上进行低通</w:t>
      </w:r>
      <w:r>
        <w:rPr>
          <w:rFonts w:hint="eastAsia" w:cs="Times New Roman"/>
        </w:rPr>
        <w:t>RC</w:t>
      </w:r>
      <w:r>
        <w:rPr>
          <w:rFonts w:cs="Times New Roman"/>
        </w:rPr>
        <w:t>滤波，输出以1.6V为中心、在0V至3.3V安全范围内规律摆动的平滑交变电压</w:t>
      </w:r>
      <w:r>
        <w:rPr>
          <w:rFonts w:hint="eastAsia" w:cs="Times New Roman"/>
        </w:rPr>
        <w:t>。</w:t>
      </w:r>
      <w:r>
        <w:t>电路原理图</w:t>
      </w:r>
      <w:r>
        <w:rPr>
          <w:rFonts w:hint="eastAsia"/>
        </w:rPr>
        <w:t>与</w:t>
      </w:r>
      <w:r>
        <w:rPr>
          <w:rFonts w:hint="eastAsia" w:cs="Times New Roman"/>
        </w:rPr>
        <w:t>PCB分别如图4、图5所示</w:t>
      </w:r>
      <w:r>
        <w:rPr>
          <w:rFonts w:cs="Times New Roman"/>
        </w:rPr>
        <w:t>。</w:t>
      </w:r>
    </w:p>
    <w:p w14:paraId="153EE76E">
      <w:pPr>
        <w:pStyle w:val="22"/>
        <w:keepNext/>
      </w:pPr>
      <w:r>
        <w:drawing>
          <wp:inline distT="0" distB="0" distL="0" distR="0">
            <wp:extent cx="5274310" cy="3172460"/>
            <wp:effectExtent l="0" t="0" r="2540" b="8890"/>
            <wp:docPr id="729637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37796" name="图片 1"/>
                    <pic:cNvPicPr>
                      <a:picLocks noChangeAspect="1"/>
                    </pic:cNvPicPr>
                  </pic:nvPicPr>
                  <pic:blipFill>
                    <a:blip r:embed="rId22"/>
                    <a:stretch>
                      <a:fillRect/>
                    </a:stretch>
                  </pic:blipFill>
                  <pic:spPr>
                    <a:xfrm>
                      <a:off x="0" y="0"/>
                      <a:ext cx="5274310" cy="3172460"/>
                    </a:xfrm>
                    <a:prstGeom prst="rect">
                      <a:avLst/>
                    </a:prstGeom>
                  </pic:spPr>
                </pic:pic>
              </a:graphicData>
            </a:graphic>
          </wp:inline>
        </w:drawing>
      </w:r>
    </w:p>
    <w:p w14:paraId="3272AE3F">
      <w:pPr>
        <w:pStyle w:val="6"/>
        <w:ind w:firstLine="361"/>
        <w:rPr>
          <w:rFonts w:hint="eastAsia"/>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5</w:t>
      </w:r>
      <w:r>
        <w:fldChar w:fldCharType="end"/>
      </w:r>
      <w:r>
        <w:rPr>
          <w:rFonts w:hint="eastAsia"/>
        </w:rPr>
        <w:t>交流采样电路原理图</w:t>
      </w:r>
    </w:p>
    <w:p w14:paraId="30A9EFCA">
      <w:pPr>
        <w:pStyle w:val="22"/>
        <w:keepNext/>
        <w:jc w:val="center"/>
      </w:pPr>
      <w:r>
        <w:rPr>
          <w:rFonts w:hint="eastAsia"/>
        </w:rPr>
        <w:drawing>
          <wp:inline distT="0" distB="0" distL="0" distR="0">
            <wp:extent cx="3240405" cy="2907030"/>
            <wp:effectExtent l="0" t="0" r="0" b="7620"/>
            <wp:docPr id="4474656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65622" name="图片 2"/>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50152" cy="2915980"/>
                    </a:xfrm>
                    <a:prstGeom prst="rect">
                      <a:avLst/>
                    </a:prstGeom>
                  </pic:spPr>
                </pic:pic>
              </a:graphicData>
            </a:graphic>
          </wp:inline>
        </w:drawing>
      </w:r>
    </w:p>
    <w:p w14:paraId="1979F480">
      <w:pPr>
        <w:pStyle w:val="6"/>
        <w:ind w:firstLine="361"/>
        <w:rPr>
          <w:rFonts w:hint="eastAsia"/>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6</w:t>
      </w:r>
      <w:r>
        <w:fldChar w:fldCharType="end"/>
      </w:r>
      <w:r>
        <w:rPr>
          <w:rFonts w:hint="eastAsia"/>
        </w:rPr>
        <w:t>交流采样PCB</w:t>
      </w:r>
    </w:p>
    <w:p w14:paraId="7CA75557">
      <w:pPr>
        <w:pStyle w:val="22"/>
      </w:pPr>
      <w:r>
        <w:rPr>
          <w:rFonts w:hint="eastAsia"/>
        </w:rPr>
        <w:t>（3）直流采样电路</w:t>
      </w:r>
    </w:p>
    <w:p w14:paraId="13AE016F">
      <w:pPr>
        <w:ind w:firstLine="480"/>
      </w:pPr>
      <w:r>
        <w:t>本系统设计有专用的</w:t>
      </w:r>
      <w:r>
        <w:rPr>
          <w:rFonts w:hint="eastAsia"/>
        </w:rPr>
        <w:t>直流</w:t>
      </w:r>
      <w:r>
        <w:t>电压和</w:t>
      </w:r>
      <w:r>
        <w:rPr>
          <w:rFonts w:hint="eastAsia"/>
        </w:rPr>
        <w:t>直流</w:t>
      </w:r>
      <w:r>
        <w:t>电流采样模块，重点针对单极性直流物理量设计了高阻抗、高稳态精度的调理通路</w:t>
      </w:r>
      <w:r>
        <w:rPr>
          <w:rFonts w:hint="eastAsia"/>
        </w:rPr>
        <w:t>。</w:t>
      </w:r>
      <w:r>
        <w:t>在电流采样端，被测直流通过精密采样电阻转化为微弱压降，随后进入专用电流传感放大芯片中进行增益高比例放大</w:t>
      </w:r>
      <w:r>
        <w:rPr>
          <w:rFonts w:hint="eastAsia"/>
        </w:rPr>
        <w:t>。</w:t>
      </w:r>
      <w:r>
        <w:t>在电压采样端，系统利用</w:t>
      </w:r>
      <w:r>
        <w:rPr>
          <w:rFonts w:hint="eastAsia"/>
        </w:rPr>
        <w:t>运算放大器</w:t>
      </w:r>
      <w:r>
        <w:t>组建的差分减法放大网络实现大电压比例衰减</w:t>
      </w:r>
      <w:r>
        <w:rPr>
          <w:rFonts w:hint="eastAsia"/>
        </w:rPr>
        <w:t>，</w:t>
      </w:r>
      <w:r>
        <w:t>两路信号在放大衰减完成后，均通过由运放组建的电压跟随器进行强力的阻抗匹配与驱动缓冲，并</w:t>
      </w:r>
      <w:r>
        <w:rPr>
          <w:rFonts w:hint="eastAsia"/>
        </w:rPr>
        <w:t>搭配</w:t>
      </w:r>
      <w:r>
        <w:t xml:space="preserve"> RC 低通滤波网络滤除电力电子高频开关噪声，为微控制器核心提供了稳定</w:t>
      </w:r>
      <w:r>
        <w:rPr>
          <w:rFonts w:hint="eastAsia"/>
        </w:rPr>
        <w:t>的</w:t>
      </w:r>
      <w:r>
        <w:t xml:space="preserve"> 0~3.3V 直流传感信号</w:t>
      </w:r>
      <w:r>
        <w:rPr>
          <w:rFonts w:hint="eastAsia"/>
        </w:rPr>
        <w:t>，电路原理图、PCB分别如图7、图8所示</w:t>
      </w:r>
      <w:r>
        <w:t>。</w:t>
      </w:r>
    </w:p>
    <w:p w14:paraId="070196A6">
      <w:pPr>
        <w:pStyle w:val="22"/>
        <w:keepNext/>
      </w:pPr>
      <w:r>
        <w:drawing>
          <wp:inline distT="0" distB="0" distL="0" distR="0">
            <wp:extent cx="5274310" cy="2702560"/>
            <wp:effectExtent l="0" t="0" r="2540" b="2540"/>
            <wp:docPr id="491935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35853" name="图片 1"/>
                    <pic:cNvPicPr>
                      <a:picLocks noChangeAspect="1"/>
                    </pic:cNvPicPr>
                  </pic:nvPicPr>
                  <pic:blipFill>
                    <a:blip r:embed="rId24"/>
                    <a:stretch>
                      <a:fillRect/>
                    </a:stretch>
                  </pic:blipFill>
                  <pic:spPr>
                    <a:xfrm>
                      <a:off x="0" y="0"/>
                      <a:ext cx="5274310" cy="2702560"/>
                    </a:xfrm>
                    <a:prstGeom prst="rect">
                      <a:avLst/>
                    </a:prstGeom>
                  </pic:spPr>
                </pic:pic>
              </a:graphicData>
            </a:graphic>
          </wp:inline>
        </w:drawing>
      </w:r>
    </w:p>
    <w:p w14:paraId="06292BAA">
      <w:pPr>
        <w:pStyle w:val="6"/>
        <w:ind w:firstLine="361"/>
        <w:rPr>
          <w:rFonts w:hint="eastAsia"/>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7</w:t>
      </w:r>
      <w:r>
        <w:fldChar w:fldCharType="end"/>
      </w:r>
      <w:r>
        <w:rPr>
          <w:rFonts w:hint="eastAsia"/>
        </w:rPr>
        <w:t>直流采样电路</w:t>
      </w:r>
    </w:p>
    <w:p w14:paraId="658605AB">
      <w:pPr>
        <w:keepNext/>
        <w:ind w:firstLine="480"/>
        <w:jc w:val="center"/>
      </w:pPr>
      <w:r>
        <w:rPr>
          <w:rFonts w:hint="eastAsia"/>
        </w:rPr>
        <w:drawing>
          <wp:inline distT="0" distB="0" distL="0" distR="0">
            <wp:extent cx="3430905" cy="2652395"/>
            <wp:effectExtent l="0" t="0" r="0" b="0"/>
            <wp:docPr id="5668196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19621" name="图片 4"/>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44149" cy="2662933"/>
                    </a:xfrm>
                    <a:prstGeom prst="rect">
                      <a:avLst/>
                    </a:prstGeom>
                  </pic:spPr>
                </pic:pic>
              </a:graphicData>
            </a:graphic>
          </wp:inline>
        </w:drawing>
      </w:r>
    </w:p>
    <w:p w14:paraId="617FF5B5">
      <w:pPr>
        <w:pStyle w:val="6"/>
        <w:ind w:firstLine="361"/>
        <w:rPr>
          <w:rFonts w:hint="eastAsia"/>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8</w:t>
      </w:r>
      <w:r>
        <w:fldChar w:fldCharType="end"/>
      </w:r>
      <w:r>
        <w:rPr>
          <w:rFonts w:hint="eastAsia"/>
        </w:rPr>
        <w:t>直流采样PCB</w:t>
      </w:r>
    </w:p>
    <w:p w14:paraId="1DB39F7F">
      <w:pPr>
        <w:pStyle w:val="22"/>
      </w:pPr>
      <w:r>
        <w:rPr>
          <w:rFonts w:hint="eastAsia"/>
        </w:rPr>
        <w:t>（4）控制电路</w:t>
      </w:r>
    </w:p>
    <w:p w14:paraId="017F608B">
      <w:pPr>
        <w:pStyle w:val="22"/>
        <w:widowControl w:val="0"/>
        <w:numPr>
          <w:ilvl w:val="0"/>
          <w:numId w:val="0"/>
        </w:numPr>
        <w:spacing w:line="360" w:lineRule="auto"/>
        <w:ind w:firstLine="480" w:firstLineChars="200"/>
        <w:jc w:val="both"/>
      </w:pPr>
      <w:r>
        <w:rPr>
          <w:rFonts w:ascii="宋体" w:hAnsi="宋体" w:eastAsia="宋体" w:cs="宋体"/>
          <w:sz w:val="24"/>
          <w:szCs w:val="24"/>
        </w:rPr>
        <w:t>为满足电压、电流采样反馈以及三电平桥臂驱动等功能需求，系统设计了配套扩展板，用于完成各功能模块与主控板之间的信号连接、供电分配及电源管理。考虑到数字地噪声可能对 ADC 采样精度产生影响，ADC 采样电路采用隔离地设计，并通过单点接地方式实现模拟采样地与系统地的连接，以降低地环路干扰及数字噪声对采样结果的影响。</w:t>
      </w:r>
      <w:r>
        <w:rPr>
          <w:rFonts w:ascii="宋体" w:hAnsi="宋体" w:eastAsia="宋体" w:cs="宋体"/>
          <w:sz w:val="24"/>
          <w:szCs w:val="24"/>
        </w:rPr>
        <w:br w:type="textWrapping"/>
      </w:r>
      <w:r>
        <w:rPr>
          <w:rFonts w:hint="eastAsia" w:ascii="宋体" w:hAnsi="宋体" w:cs="宋体"/>
          <w:sz w:val="24"/>
          <w:szCs w:val="24"/>
          <w:lang w:val="en-US" w:eastAsia="zh-CN"/>
        </w:rPr>
        <w:t xml:space="preserve">    </w:t>
      </w:r>
      <w:r>
        <w:rPr>
          <w:rFonts w:ascii="宋体" w:hAnsi="宋体" w:eastAsia="宋体" w:cs="宋体"/>
          <w:sz w:val="24"/>
          <w:szCs w:val="24"/>
        </w:rPr>
        <w:t>此外，根据系统功率分配控制需求，扩展板设置了按键切换电路，用于实现不同功率分配模式的选择；同时预留 IIC 接口以外接 OLED 显示屏，便于在调试过程中对系统运行数据进行实时观测。</w:t>
      </w:r>
      <w:r>
        <w:rPr>
          <w:rFonts w:hint="eastAsia"/>
        </w:rPr>
        <w:t>电路原理图、PCB分别如图</w:t>
      </w:r>
      <w:r>
        <w:rPr>
          <w:rFonts w:hint="eastAsia"/>
          <w:lang w:val="en-US" w:eastAsia="zh-CN"/>
        </w:rPr>
        <w:t>10</w:t>
      </w:r>
      <w:r>
        <w:rPr>
          <w:rFonts w:hint="eastAsia"/>
        </w:rPr>
        <w:t>、图</w:t>
      </w:r>
      <w:r>
        <w:rPr>
          <w:rFonts w:hint="eastAsia"/>
          <w:lang w:val="en-US" w:eastAsia="zh-CN"/>
        </w:rPr>
        <w:t>11</w:t>
      </w:r>
      <w:r>
        <w:rPr>
          <w:rFonts w:hint="eastAsia"/>
        </w:rPr>
        <w:t>所示</w:t>
      </w:r>
      <w:r>
        <w:t>。</w:t>
      </w:r>
    </w:p>
    <w:p w14:paraId="16D5C102">
      <w:pPr>
        <w:pStyle w:val="22"/>
        <w:widowControl w:val="0"/>
        <w:numPr>
          <w:ilvl w:val="0"/>
          <w:numId w:val="0"/>
        </w:numPr>
        <w:spacing w:line="360" w:lineRule="auto"/>
        <w:ind w:firstLine="480" w:firstLineChars="200"/>
        <w:jc w:val="center"/>
      </w:pPr>
      <w:r>
        <w:drawing>
          <wp:inline distT="0" distB="0" distL="114300" distR="114300">
            <wp:extent cx="5257165" cy="2526030"/>
            <wp:effectExtent l="0" t="0" r="635" b="1270"/>
            <wp:docPr id="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
                    <pic:cNvPicPr>
                      <a:picLocks noChangeAspect="1"/>
                    </pic:cNvPicPr>
                  </pic:nvPicPr>
                  <pic:blipFill>
                    <a:blip r:embed="rId26"/>
                    <a:stretch>
                      <a:fillRect/>
                    </a:stretch>
                  </pic:blipFill>
                  <pic:spPr>
                    <a:xfrm>
                      <a:off x="0" y="0"/>
                      <a:ext cx="5257165" cy="2526030"/>
                    </a:xfrm>
                    <a:prstGeom prst="rect">
                      <a:avLst/>
                    </a:prstGeom>
                    <a:noFill/>
                    <a:ln>
                      <a:noFill/>
                    </a:ln>
                  </pic:spPr>
                </pic:pic>
              </a:graphicData>
            </a:graphic>
          </wp:inline>
        </w:drawing>
      </w:r>
    </w:p>
    <w:p w14:paraId="1045F80C">
      <w:pPr>
        <w:pStyle w:val="6"/>
        <w:ind w:firstLine="361"/>
        <w:rPr>
          <w:rFonts w:hint="eastAsia" w:ascii="宋体" w:hAnsi="宋体" w:eastAsia="宋体" w:cs="宋体"/>
          <w:b w:val="0"/>
          <w:bCs/>
          <w:lang w:val="en-US" w:eastAsia="zh-CN"/>
        </w:rPr>
      </w:pPr>
      <w:r>
        <w:t xml:space="preserve">图 </w:t>
      </w:r>
      <w:r>
        <w:fldChar w:fldCharType="begin"/>
      </w:r>
      <w:r>
        <w:instrText xml:space="preserve"> SEQ 图 \* ARABIC </w:instrText>
      </w:r>
      <w:r>
        <w:fldChar w:fldCharType="separate"/>
      </w:r>
      <w:r>
        <w:t>9</w:t>
      </w:r>
      <w:r>
        <w:fldChar w:fldCharType="end"/>
      </w:r>
      <w:r>
        <w:rPr>
          <w:rFonts w:hint="eastAsia" w:ascii="宋体" w:hAnsi="宋体" w:eastAsia="宋体" w:cs="宋体"/>
          <w:b w:val="0"/>
          <w:bCs/>
          <w:lang w:val="en-US" w:eastAsia="zh-CN"/>
        </w:rPr>
        <w:t>拓展板原理图</w:t>
      </w:r>
    </w:p>
    <w:p w14:paraId="06BAC960">
      <w:pPr>
        <w:pStyle w:val="22"/>
        <w:widowControl w:val="0"/>
        <w:numPr>
          <w:ilvl w:val="0"/>
          <w:numId w:val="0"/>
        </w:numPr>
        <w:spacing w:line="360" w:lineRule="auto"/>
        <w:jc w:val="center"/>
      </w:pPr>
      <w:r>
        <w:drawing>
          <wp:inline distT="0" distB="0" distL="114300" distR="114300">
            <wp:extent cx="2345055" cy="2325370"/>
            <wp:effectExtent l="0" t="0" r="4445" b="11430"/>
            <wp:docPr id="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
                    <pic:cNvPicPr>
                      <a:picLocks noChangeAspect="1"/>
                    </pic:cNvPicPr>
                  </pic:nvPicPr>
                  <pic:blipFill>
                    <a:blip r:embed="rId27"/>
                    <a:stretch>
                      <a:fillRect/>
                    </a:stretch>
                  </pic:blipFill>
                  <pic:spPr>
                    <a:xfrm>
                      <a:off x="0" y="0"/>
                      <a:ext cx="2345055" cy="2325370"/>
                    </a:xfrm>
                    <a:prstGeom prst="rect">
                      <a:avLst/>
                    </a:prstGeom>
                    <a:noFill/>
                    <a:ln>
                      <a:noFill/>
                    </a:ln>
                  </pic:spPr>
                </pic:pic>
              </a:graphicData>
            </a:graphic>
          </wp:inline>
        </w:drawing>
      </w:r>
    </w:p>
    <w:p w14:paraId="14C33F77">
      <w:pPr>
        <w:pStyle w:val="6"/>
        <w:ind w:firstLine="361"/>
        <w:rPr>
          <w:rFonts w:hint="default" w:ascii="宋体" w:hAnsi="宋体" w:eastAsia="宋体" w:cs="宋体"/>
          <w:b w:val="0"/>
          <w:bCs/>
          <w:lang w:val="en-US"/>
        </w:rPr>
      </w:pPr>
      <w:r>
        <w:t xml:space="preserve">图 </w:t>
      </w:r>
      <w:r>
        <w:fldChar w:fldCharType="begin"/>
      </w:r>
      <w:r>
        <w:instrText xml:space="preserve"> SEQ 图 \* ARABIC </w:instrText>
      </w:r>
      <w:r>
        <w:fldChar w:fldCharType="separate"/>
      </w:r>
      <w:r>
        <w:t>10</w:t>
      </w:r>
      <w:r>
        <w:fldChar w:fldCharType="end"/>
      </w:r>
      <w:r>
        <w:rPr>
          <w:rFonts w:hint="eastAsia" w:ascii="宋体" w:hAnsi="宋体" w:eastAsia="宋体" w:cs="宋体"/>
          <w:b w:val="0"/>
          <w:bCs/>
          <w:lang w:val="en-US" w:eastAsia="zh-CN"/>
        </w:rPr>
        <w:t>拓展板PCB</w:t>
      </w:r>
    </w:p>
    <w:p w14:paraId="4046CF7E">
      <w:pPr>
        <w:ind w:firstLine="480"/>
        <w:rPr>
          <w:rFonts w:cs="Times New Roman"/>
        </w:rPr>
      </w:pPr>
    </w:p>
    <w:p w14:paraId="04CE131A">
      <w:pPr>
        <w:pStyle w:val="3"/>
        <w:numPr>
          <w:ilvl w:val="1"/>
          <w:numId w:val="2"/>
        </w:numPr>
        <w:bidi w:val="0"/>
      </w:pPr>
      <w:r>
        <w:rPr>
          <w:rFonts w:hint="eastAsia"/>
          <w:lang w:val="en-US" w:eastAsia="zh-CN"/>
        </w:rPr>
        <w:t xml:space="preserve"> </w:t>
      </w:r>
      <w:r>
        <w:rPr>
          <w:rFonts w:hint="eastAsia"/>
        </w:rPr>
        <w:t>软件系统介绍</w:t>
      </w:r>
    </w:p>
    <w:p w14:paraId="70BF81B8">
      <w:pPr>
        <w:pStyle w:val="4"/>
        <w:bidi w:val="0"/>
        <w:rPr>
          <w:rFonts w:hint="eastAsia" w:cs="Times New Roman"/>
        </w:rPr>
      </w:pPr>
      <w:r>
        <w:rPr>
          <w:rFonts w:hint="eastAsia"/>
        </w:rPr>
        <w:t>2.</w:t>
      </w:r>
      <w:r>
        <w:rPr>
          <w:rFonts w:hint="eastAsia"/>
          <w:lang w:val="en-US" w:eastAsia="zh-CN"/>
        </w:rPr>
        <w:t>3</w:t>
      </w:r>
      <w:r>
        <w:rPr>
          <w:rFonts w:hint="eastAsia"/>
        </w:rPr>
        <w:t>.1</w:t>
      </w:r>
      <w:r>
        <w:t xml:space="preserve"> </w:t>
      </w:r>
      <w:r>
        <w:rPr>
          <w:rFonts w:hint="eastAsia"/>
        </w:rPr>
        <w:t>软件整体介绍；</w:t>
      </w:r>
    </w:p>
    <w:p w14:paraId="63EAF204">
      <w:pPr>
        <w:bidi w:val="0"/>
        <w:ind w:left="0" w:leftChars="0" w:firstLine="0" w:firstLineChars="0"/>
        <w:rPr>
          <w:rFonts w:hint="eastAsia"/>
          <w:lang w:val="en-US" w:eastAsia="zh-CN"/>
        </w:rPr>
      </w:pPr>
      <w:r>
        <w:rPr>
          <w:rFonts w:hint="eastAsia"/>
          <w:lang w:val="en-US" w:eastAsia="zh-CN"/>
        </w:rPr>
        <w:t>整体系统分为多个模块进行开发：</w:t>
      </w:r>
    </w:p>
    <w:p w14:paraId="2F457121">
      <w:pPr>
        <w:bidi w:val="0"/>
        <w:ind w:left="0" w:leftChars="0" w:firstLine="0" w:firstLineChars="0"/>
      </w:pPr>
      <w:r>
        <w:drawing>
          <wp:inline distT="0" distB="0" distL="114300" distR="114300">
            <wp:extent cx="5271770" cy="2241550"/>
            <wp:effectExtent l="0" t="0" r="11430" b="19050"/>
            <wp:docPr id="2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4"/>
                    <pic:cNvPicPr>
                      <a:picLocks noChangeAspect="1"/>
                    </pic:cNvPicPr>
                  </pic:nvPicPr>
                  <pic:blipFill>
                    <a:blip r:embed="rId28"/>
                    <a:stretch>
                      <a:fillRect/>
                    </a:stretch>
                  </pic:blipFill>
                  <pic:spPr>
                    <a:xfrm>
                      <a:off x="0" y="0"/>
                      <a:ext cx="5271770" cy="2241550"/>
                    </a:xfrm>
                    <a:prstGeom prst="rect">
                      <a:avLst/>
                    </a:prstGeom>
                    <a:noFill/>
                    <a:ln>
                      <a:noFill/>
                    </a:ln>
                  </pic:spPr>
                </pic:pic>
              </a:graphicData>
            </a:graphic>
          </wp:inline>
        </w:drawing>
      </w:r>
    </w:p>
    <w:p w14:paraId="348D5800">
      <w:pPr>
        <w:bidi w:val="0"/>
        <w:ind w:left="0" w:leftChars="0" w:firstLine="420" w:firstLineChars="0"/>
        <w:rPr>
          <w:rFonts w:hint="eastAsia"/>
          <w:lang w:val="en-US" w:eastAsia="zh-CN"/>
        </w:rPr>
      </w:pPr>
      <w:r>
        <w:rPr>
          <w:rFonts w:hint="eastAsia"/>
          <w:lang w:val="en-US" w:eastAsia="zh-CN"/>
        </w:rPr>
        <w:t>Applications目录下存放本工程的主要功能代码实现，如</w:t>
      </w:r>
    </w:p>
    <w:p w14:paraId="1AE58F44">
      <w:pPr>
        <w:numPr>
          <w:ilvl w:val="0"/>
          <w:numId w:val="5"/>
        </w:numPr>
        <w:bidi w:val="0"/>
        <w:ind w:left="845" w:leftChars="0" w:hanging="425" w:firstLineChars="0"/>
        <w:rPr>
          <w:rFonts w:hint="default"/>
          <w:lang w:val="en-US" w:eastAsia="zh-CN"/>
        </w:rPr>
      </w:pPr>
      <w:r>
        <w:rPr>
          <w:rFonts w:hint="eastAsia"/>
          <w:lang w:val="en-US" w:eastAsia="zh-CN"/>
        </w:rPr>
        <w:t>功率分配算法PDSVM</w:t>
      </w:r>
    </w:p>
    <w:p w14:paraId="7A0713DE">
      <w:pPr>
        <w:numPr>
          <w:ilvl w:val="0"/>
          <w:numId w:val="5"/>
        </w:numPr>
        <w:bidi w:val="0"/>
        <w:ind w:left="845" w:leftChars="0" w:hanging="425" w:firstLineChars="0"/>
        <w:rPr>
          <w:rFonts w:hint="default"/>
          <w:lang w:val="en-US" w:eastAsia="zh-CN"/>
        </w:rPr>
      </w:pPr>
      <w:r>
        <w:rPr>
          <w:rFonts w:hint="eastAsia"/>
          <w:lang w:val="en-US" w:eastAsia="zh-CN"/>
        </w:rPr>
        <w:t>电机驱动适配层motor、slObservation、Filter</w:t>
      </w:r>
    </w:p>
    <w:p w14:paraId="5914A1D3">
      <w:pPr>
        <w:numPr>
          <w:ilvl w:val="0"/>
          <w:numId w:val="5"/>
        </w:numPr>
        <w:bidi w:val="0"/>
        <w:ind w:left="845" w:leftChars="0" w:hanging="425" w:firstLineChars="0"/>
        <w:rPr>
          <w:rFonts w:hint="default"/>
          <w:lang w:val="en-US" w:eastAsia="zh-CN"/>
        </w:rPr>
      </w:pPr>
      <w:r>
        <w:rPr>
          <w:rFonts w:hint="eastAsia"/>
          <w:lang w:val="en-US" w:eastAsia="zh-CN"/>
        </w:rPr>
        <w:t>外设部分oled、button、adc</w:t>
      </w:r>
    </w:p>
    <w:p w14:paraId="0FF5A792">
      <w:pPr>
        <w:numPr>
          <w:ilvl w:val="0"/>
          <w:numId w:val="5"/>
        </w:numPr>
        <w:bidi w:val="0"/>
        <w:ind w:left="845" w:leftChars="0" w:hanging="425" w:firstLineChars="0"/>
        <w:rPr>
          <w:rFonts w:hint="default"/>
          <w:lang w:val="en-US" w:eastAsia="zh-CN"/>
        </w:rPr>
      </w:pPr>
      <w:r>
        <w:rPr>
          <w:rFonts w:hint="eastAsia"/>
          <w:lang w:val="en-US" w:eastAsia="zh-CN"/>
        </w:rPr>
        <w:t>多线程分配与线程间通信部分*_app</w:t>
      </w:r>
    </w:p>
    <w:p w14:paraId="7C6F08A1">
      <w:pPr>
        <w:bidi w:val="0"/>
        <w:ind w:left="0" w:leftChars="0" w:firstLine="0" w:firstLineChars="0"/>
        <w:jc w:val="center"/>
      </w:pPr>
      <w:r>
        <w:drawing>
          <wp:inline distT="0" distB="0" distL="114300" distR="114300">
            <wp:extent cx="1785620" cy="3599815"/>
            <wp:effectExtent l="0" t="0" r="1778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9"/>
                    <a:stretch>
                      <a:fillRect/>
                    </a:stretch>
                  </pic:blipFill>
                  <pic:spPr>
                    <a:xfrm>
                      <a:off x="0" y="0"/>
                      <a:ext cx="1785620" cy="3599815"/>
                    </a:xfrm>
                    <a:prstGeom prst="rect">
                      <a:avLst/>
                    </a:prstGeom>
                    <a:noFill/>
                    <a:ln>
                      <a:noFill/>
                    </a:ln>
                  </pic:spPr>
                </pic:pic>
              </a:graphicData>
            </a:graphic>
          </wp:inline>
        </w:drawing>
      </w:r>
      <w:r>
        <w:drawing>
          <wp:inline distT="0" distB="0" distL="114300" distR="114300">
            <wp:extent cx="2075815" cy="359981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0"/>
                    <a:srcRect r="8942"/>
                    <a:stretch>
                      <a:fillRect/>
                    </a:stretch>
                  </pic:blipFill>
                  <pic:spPr>
                    <a:xfrm>
                      <a:off x="0" y="0"/>
                      <a:ext cx="2075815" cy="3599815"/>
                    </a:xfrm>
                    <a:prstGeom prst="rect">
                      <a:avLst/>
                    </a:prstGeom>
                    <a:noFill/>
                    <a:ln>
                      <a:noFill/>
                    </a:ln>
                  </pic:spPr>
                </pic:pic>
              </a:graphicData>
            </a:graphic>
          </wp:inline>
        </w:drawing>
      </w:r>
    </w:p>
    <w:p w14:paraId="7DE0664B">
      <w:pPr>
        <w:pStyle w:val="4"/>
        <w:bidi w:val="0"/>
        <w:rPr>
          <w:rFonts w:hint="eastAsia"/>
        </w:rPr>
      </w:pPr>
      <w:r>
        <w:rPr>
          <w:rFonts w:hint="eastAsia"/>
        </w:rPr>
        <w:t>2.</w:t>
      </w:r>
      <w:r>
        <w:rPr>
          <w:rFonts w:hint="eastAsia"/>
          <w:lang w:val="en-US" w:eastAsia="zh-CN"/>
        </w:rPr>
        <w:t>3</w:t>
      </w:r>
      <w:r>
        <w:rPr>
          <w:rFonts w:hint="eastAsia"/>
        </w:rPr>
        <w:t>.2</w:t>
      </w:r>
      <w:r>
        <w:t xml:space="preserve"> </w:t>
      </w:r>
      <w:r>
        <w:rPr>
          <w:rFonts w:hint="eastAsia"/>
        </w:rPr>
        <w:t>软件各模块介绍；</w:t>
      </w:r>
    </w:p>
    <w:p w14:paraId="5EC1EEB2">
      <w:pPr>
        <w:numPr>
          <w:ilvl w:val="0"/>
          <w:numId w:val="6"/>
        </w:numPr>
        <w:ind w:left="425" w:leftChars="0" w:hanging="425" w:firstLineChars="0"/>
        <w:rPr>
          <w:rFonts w:hint="eastAsia" w:cs="Times New Roman"/>
          <w:b/>
          <w:bCs/>
          <w:lang w:val="en-US" w:eastAsia="zh-CN"/>
        </w:rPr>
      </w:pPr>
      <w:r>
        <w:rPr>
          <w:rFonts w:hint="eastAsia" w:cs="Times New Roman"/>
          <w:b/>
          <w:bCs/>
          <w:lang w:val="en-US" w:eastAsia="zh-CN"/>
        </w:rPr>
        <w:t>RT-Thread线程分配与线程同步通信：</w:t>
      </w:r>
    </w:p>
    <w:p w14:paraId="3BF6F32B">
      <w:pPr>
        <w:widowControl w:val="0"/>
        <w:numPr>
          <w:ilvl w:val="0"/>
          <w:numId w:val="0"/>
        </w:numPr>
        <w:spacing w:line="360" w:lineRule="auto"/>
        <w:jc w:val="center"/>
      </w:pPr>
      <w:r>
        <w:drawing>
          <wp:inline distT="0" distB="0" distL="114300" distR="114300">
            <wp:extent cx="5092065" cy="2840990"/>
            <wp:effectExtent l="0" t="0" r="13335" b="3810"/>
            <wp:docPr id="2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3"/>
                    <pic:cNvPicPr>
                      <a:picLocks noChangeAspect="1"/>
                    </pic:cNvPicPr>
                  </pic:nvPicPr>
                  <pic:blipFill>
                    <a:blip r:embed="rId31"/>
                    <a:stretch>
                      <a:fillRect/>
                    </a:stretch>
                  </pic:blipFill>
                  <pic:spPr>
                    <a:xfrm>
                      <a:off x="0" y="0"/>
                      <a:ext cx="5092065" cy="2840990"/>
                    </a:xfrm>
                    <a:prstGeom prst="rect">
                      <a:avLst/>
                    </a:prstGeom>
                    <a:noFill/>
                    <a:ln>
                      <a:noFill/>
                    </a:ln>
                  </pic:spPr>
                </pic:pic>
              </a:graphicData>
            </a:graphic>
          </wp:inline>
        </w:drawing>
      </w:r>
    </w:p>
    <w:p w14:paraId="1EB5A633">
      <w:pPr>
        <w:widowControl w:val="0"/>
        <w:numPr>
          <w:ilvl w:val="0"/>
          <w:numId w:val="0"/>
        </w:numPr>
        <w:spacing w:line="360" w:lineRule="auto"/>
        <w:ind w:firstLine="420" w:firstLineChars="0"/>
        <w:jc w:val="both"/>
        <w:rPr>
          <w:rFonts w:hint="eastAsia" w:cs="Times New Roman"/>
          <w:lang w:val="en-US" w:eastAsia="zh-CN"/>
        </w:rPr>
      </w:pPr>
      <w:r>
        <w:rPr>
          <w:rFonts w:hint="eastAsia" w:cs="Times New Roman"/>
          <w:lang w:val="en-US" w:eastAsia="zh-CN"/>
        </w:rPr>
        <w:t>本工程采用“RT-Thread系统服务层 + 硬实时中断快路径”的结构。</w:t>
      </w:r>
    </w:p>
    <w:p w14:paraId="32F11540">
      <w:pPr>
        <w:widowControl w:val="0"/>
        <w:numPr>
          <w:ilvl w:val="0"/>
          <w:numId w:val="0"/>
        </w:numPr>
        <w:spacing w:line="360" w:lineRule="auto"/>
        <w:jc w:val="both"/>
        <w:rPr>
          <w:rFonts w:hint="eastAsia" w:cs="Times New Roman"/>
          <w:lang w:val="en-US" w:eastAsia="zh-CN"/>
        </w:rPr>
      </w:pPr>
      <w:r>
        <w:rPr>
          <w:rFonts w:hint="eastAsia" w:cs="Times New Roman"/>
          <w:lang w:val="en-US" w:eastAsia="zh-CN"/>
        </w:rPr>
        <w:t>RT-Thread负责启动编排、线程调度、设备注册、故障处理和遥测输出；EPWM2 ISR负责20 kHz电机控制，EPWM1+ADCA+EDMA负责采样快路径。利用RTOS提高软件组织能力，又避免线程调度影响控制周期确定性。</w:t>
      </w:r>
    </w:p>
    <w:p w14:paraId="5BEF0D9F">
      <w:pPr>
        <w:widowControl w:val="0"/>
        <w:numPr>
          <w:ilvl w:val="0"/>
          <w:numId w:val="0"/>
        </w:numPr>
        <w:spacing w:line="360" w:lineRule="auto"/>
        <w:ind w:firstLine="420" w:firstLineChars="0"/>
        <w:jc w:val="both"/>
        <w:rPr>
          <w:rFonts w:hint="eastAsia" w:cs="Times New Roman"/>
          <w:lang w:val="en-US" w:eastAsia="zh-CN"/>
        </w:rPr>
      </w:pPr>
      <w:r>
        <w:rPr>
          <w:rFonts w:hint="eastAsia" w:cs="Times New Roman"/>
          <w:b/>
          <w:bCs/>
          <w:lang w:val="en-US" w:eastAsia="zh-CN"/>
        </w:rPr>
        <w:t>初始化流程：</w:t>
      </w:r>
      <w:r>
        <w:rPr>
          <w:rFonts w:hint="eastAsia" w:cs="Times New Roman"/>
          <w:lang w:val="en-US" w:eastAsia="zh-CN"/>
        </w:rPr>
        <w:t>系统上电后进入 rtthread_startup()。板级阶段执行 rt_hw_board_init()，完成时钟、SysTick、heap、pin、UART和console初始化，并执行 rt_components_board_init()。调度器启动后创建 main 线程，main_thread_entry() 先执行 rt_components_init() 注册组件级设备，再调用用户 main()，进入 ns800_app_main() 创建应用线程并启动控制链路。</w:t>
      </w:r>
    </w:p>
    <w:p w14:paraId="58AA75D4">
      <w:pPr>
        <w:widowControl w:val="0"/>
        <w:numPr>
          <w:ilvl w:val="0"/>
          <w:numId w:val="0"/>
        </w:numPr>
        <w:spacing w:line="360" w:lineRule="auto"/>
        <w:ind w:firstLine="420" w:firstLineChars="0"/>
        <w:jc w:val="both"/>
        <w:rPr>
          <w:rFonts w:hint="eastAsia" w:cs="Times New Roman"/>
          <w:lang w:val="en-US" w:eastAsia="zh-CN"/>
        </w:rPr>
      </w:pPr>
      <w:r>
        <w:rPr>
          <w:rFonts w:hint="eastAsia" w:cs="Times New Roman"/>
          <w:b/>
          <w:bCs/>
          <w:lang w:val="en-US" w:eastAsia="zh-CN"/>
        </w:rPr>
        <w:t>线程分配：</w:t>
      </w:r>
      <w:r>
        <w:rPr>
          <w:rFonts w:hint="eastAsia" w:cs="Times New Roman"/>
          <w:lang w:val="en-US" w:eastAsia="zh-CN"/>
        </w:rPr>
        <w:t>应用层主要线程包括：rttinit 负责一次性启动ADC-DMA和电机控制；buttons 每5 ms扫描按键并更新 xi/speed/F；oled 每100 ms刷新显示；motguard 接收故障事件并执行保护；mottelem 消费遥测数据并输出日志；tshell 提供FinSH/MSH调试入口。主线程最终进入LED2心跳循环。</w:t>
      </w:r>
    </w:p>
    <w:p w14:paraId="28148F95">
      <w:pPr>
        <w:widowControl w:val="0"/>
        <w:numPr>
          <w:ilvl w:val="0"/>
          <w:numId w:val="0"/>
        </w:numPr>
        <w:spacing w:line="360" w:lineRule="auto"/>
        <w:ind w:firstLine="420" w:firstLineChars="0"/>
        <w:jc w:val="both"/>
        <w:rPr>
          <w:rFonts w:hint="eastAsia" w:cs="Times New Roman"/>
          <w:lang w:val="en-US" w:eastAsia="zh-CN"/>
        </w:rPr>
      </w:pPr>
      <w:r>
        <w:rPr>
          <w:rFonts w:hint="eastAsia" w:cs="Times New Roman"/>
          <w:b/>
          <w:bCs/>
          <w:lang w:val="en-US" w:eastAsia="zh-CN"/>
        </w:rPr>
        <w:t>同步通信：</w:t>
      </w:r>
      <w:r>
        <w:rPr>
          <w:rFonts w:hint="eastAsia" w:cs="Times New Roman"/>
          <w:lang w:val="en-US" w:eastAsia="zh-CN"/>
        </w:rPr>
        <w:t>按键到控制ISR采用共享参数传递，ISR只读 ns800_param_xi、ns800_param_speed、ns800_param_force_ma，避免阻塞。故障使用 rt_event 从ISR通知 motguard。遥测使用 rt_ringbuffer 从ISR传给 mottelem。OLED底层I2C写入使用 rt_mutex 保护 i2c1 总线。不同同步方式按实时性分层选取。</w:t>
      </w:r>
    </w:p>
    <w:p w14:paraId="08D6119C">
      <w:pPr>
        <w:widowControl w:val="0"/>
        <w:numPr>
          <w:ilvl w:val="0"/>
          <w:numId w:val="0"/>
        </w:numPr>
        <w:spacing w:line="360" w:lineRule="auto"/>
        <w:ind w:firstLine="420" w:firstLineChars="0"/>
        <w:jc w:val="both"/>
        <w:rPr>
          <w:rFonts w:hint="eastAsia" w:cs="Times New Roman"/>
          <w:lang w:val="en-US" w:eastAsia="zh-CN"/>
        </w:rPr>
      </w:pPr>
      <w:r>
        <w:rPr>
          <w:rFonts w:hint="eastAsia" w:cs="Times New Roman"/>
          <w:b/>
          <w:bCs/>
          <w:lang w:val="en-US" w:eastAsia="zh-CN"/>
        </w:rPr>
        <w:t>数据流架构：</w:t>
      </w:r>
      <w:r>
        <w:rPr>
          <w:rFonts w:hint="eastAsia" w:cs="Times New Roman"/>
          <w:lang w:val="en-US" w:eastAsia="zh-CN"/>
        </w:rPr>
        <w:t>系统运行时形成两条并行路径：低速服务路径由RT-Thread线程处理按键、OLED、日志、Shell和保护；硬实时路径由EPWM1/ADCA/EDMA采样、EPWM2 ISR控制计算、EPWM8-13 PWM更新组成。两者通过共享参数、事件和ringbuffer连接。RT-Thread不替代PWM控制周期，而是承载外围服务和控制状态管理。</w:t>
      </w:r>
    </w:p>
    <w:p w14:paraId="02FF3CE6">
      <w:pPr>
        <w:numPr>
          <w:ilvl w:val="0"/>
          <w:numId w:val="6"/>
        </w:numPr>
        <w:ind w:left="425" w:leftChars="0" w:hanging="425" w:firstLineChars="0"/>
        <w:rPr>
          <w:b/>
          <w:bCs/>
        </w:rPr>
      </w:pPr>
      <w:r>
        <w:rPr>
          <w:rFonts w:hint="eastAsia" w:cs="Times New Roman"/>
          <w:b/>
          <w:bCs/>
          <w:lang w:val="en-US" w:eastAsia="zh-CN"/>
        </w:rPr>
        <w:t>ADC+DMA功能与数据同步：</w:t>
      </w:r>
    </w:p>
    <w:p w14:paraId="6596BD81">
      <w:pPr>
        <w:widowControl w:val="0"/>
        <w:numPr>
          <w:ilvl w:val="0"/>
          <w:numId w:val="0"/>
        </w:numPr>
        <w:spacing w:line="360" w:lineRule="auto"/>
        <w:jc w:val="both"/>
      </w:pPr>
      <w:r>
        <w:drawing>
          <wp:inline distT="0" distB="0" distL="114300" distR="114300">
            <wp:extent cx="5214620" cy="2354580"/>
            <wp:effectExtent l="0" t="0" r="5080" b="7620"/>
            <wp:docPr id="2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5"/>
                    <pic:cNvPicPr>
                      <a:picLocks noChangeAspect="1"/>
                    </pic:cNvPicPr>
                  </pic:nvPicPr>
                  <pic:blipFill>
                    <a:blip r:embed="rId32"/>
                    <a:srcRect r="1036"/>
                    <a:stretch>
                      <a:fillRect/>
                    </a:stretch>
                  </pic:blipFill>
                  <pic:spPr>
                    <a:xfrm>
                      <a:off x="0" y="0"/>
                      <a:ext cx="5214620" cy="2354580"/>
                    </a:xfrm>
                    <a:prstGeom prst="rect">
                      <a:avLst/>
                    </a:prstGeom>
                    <a:noFill/>
                    <a:ln>
                      <a:noFill/>
                    </a:ln>
                  </pic:spPr>
                </pic:pic>
              </a:graphicData>
            </a:graphic>
          </wp:inline>
        </w:drawing>
      </w:r>
    </w:p>
    <w:p w14:paraId="0D41E35D">
      <w:pPr>
        <w:widowControl w:val="0"/>
        <w:numPr>
          <w:ilvl w:val="0"/>
          <w:numId w:val="0"/>
        </w:numPr>
        <w:spacing w:line="360" w:lineRule="auto"/>
        <w:ind w:firstLine="420" w:firstLineChars="0"/>
        <w:jc w:val="both"/>
        <w:rPr>
          <w:rFonts w:hint="eastAsia" w:cs="Times New Roman"/>
          <w:lang w:val="en-US" w:eastAsia="zh-CN"/>
        </w:rPr>
      </w:pPr>
      <w:r>
        <w:rPr>
          <w:rFonts w:hint="eastAsia" w:cs="Times New Roman"/>
          <w:lang w:val="en-US" w:eastAsia="zh-CN"/>
        </w:rPr>
        <w:t>ADC+DMA模块为电机控制和状态显示提供连续采样数据。该模块不采用线程轮询采样，而是由EPWM1产生SOCA触发ADCA，ADCA完成SOC0~SOC9转换后，通过EDMA自动搬运到32帧环形缓冲区。RT-Thread主要负责启动编排、调试命令和多任务共享数据读取。</w:t>
      </w:r>
    </w:p>
    <w:p w14:paraId="008EFC55">
      <w:pPr>
        <w:widowControl w:val="0"/>
        <w:numPr>
          <w:ilvl w:val="0"/>
          <w:numId w:val="0"/>
        </w:numPr>
        <w:spacing w:line="360" w:lineRule="auto"/>
        <w:ind w:firstLine="420" w:firstLineChars="0"/>
        <w:jc w:val="both"/>
        <w:rPr>
          <w:rFonts w:hint="eastAsia" w:cs="Times New Roman"/>
          <w:lang w:val="en-US" w:eastAsia="zh-CN"/>
        </w:rPr>
      </w:pPr>
      <w:r>
        <w:rPr>
          <w:rFonts w:hint="eastAsia" w:cs="Times New Roman"/>
          <w:b/>
          <w:bCs/>
          <w:lang w:val="en-US" w:eastAsia="zh-CN"/>
        </w:rPr>
        <w:t>初始化流程：</w:t>
      </w:r>
      <w:r>
        <w:rPr>
          <w:rFonts w:hint="eastAsia" w:cs="Times New Roman"/>
          <w:lang w:val="en-US" w:eastAsia="zh-CN"/>
        </w:rPr>
        <w:t>ns800_app_main() 创建 rttinit 线程，rttinit 调用 ns800_adc_background_start() 启动采样链路。初始化顺序为：停止旧EPWM/DMA、配置ADC引脚、初始化ADCA、配置SOC触发源、清零缓存帧、配置DMAMUX/EDMA、启动EDMA传输，最后启动EPWM1 SOCA触发。</w:t>
      </w:r>
    </w:p>
    <w:p w14:paraId="7E6DC593">
      <w:pPr>
        <w:widowControl w:val="0"/>
        <w:numPr>
          <w:ilvl w:val="0"/>
          <w:numId w:val="0"/>
        </w:numPr>
        <w:spacing w:line="360" w:lineRule="auto"/>
        <w:ind w:firstLine="420" w:firstLineChars="0"/>
        <w:jc w:val="both"/>
        <w:rPr>
          <w:rFonts w:hint="eastAsia" w:cs="Times New Roman"/>
          <w:lang w:val="en-US" w:eastAsia="zh-CN"/>
        </w:rPr>
      </w:pPr>
      <w:r>
        <w:rPr>
          <w:rFonts w:hint="eastAsia" w:cs="Times New Roman"/>
          <w:b/>
          <w:bCs/>
          <w:lang w:val="en-US" w:eastAsia="zh-CN"/>
        </w:rPr>
        <w:t>采样与搬运机制：</w:t>
      </w:r>
      <w:r>
        <w:rPr>
          <w:rFonts w:hint="eastAsia" w:cs="Times New Roman"/>
          <w:lang w:val="en-US" w:eastAsia="zh-CN"/>
        </w:rPr>
        <w:t>ADCA配置10个SOC通道，触发源统一为 ADC_TRIGGER_EPWM1_SOCA。ADC INT1选择SOC9作为转换完成标志，并打开ADC到DMA请求。EDMA1通道1通过DMAMUX绑定 DMAMUX_ADCA1_REQ，每次minor loop搬运10个16位结果，每个major loop覆盖32帧，形成无需CPU逐点搬运的环形采样缓存。</w:t>
      </w:r>
    </w:p>
    <w:p w14:paraId="749DE1B1">
      <w:pPr>
        <w:widowControl w:val="0"/>
        <w:numPr>
          <w:ilvl w:val="0"/>
          <w:numId w:val="0"/>
        </w:numPr>
        <w:spacing w:line="360" w:lineRule="auto"/>
        <w:ind w:firstLine="420" w:firstLineChars="0"/>
        <w:jc w:val="both"/>
        <w:rPr>
          <w:rFonts w:hint="eastAsia" w:cs="Times New Roman"/>
          <w:lang w:val="en-US" w:eastAsia="zh-CN"/>
        </w:rPr>
      </w:pPr>
      <w:r>
        <w:rPr>
          <w:rFonts w:hint="eastAsia" w:cs="Times New Roman"/>
          <w:b/>
          <w:bCs/>
          <w:lang w:val="en-US" w:eastAsia="zh-CN"/>
        </w:rPr>
        <w:t>数据同步方式：</w:t>
      </w:r>
      <w:r>
        <w:rPr>
          <w:rFonts w:hint="eastAsia" w:cs="Times New Roman"/>
          <w:lang w:val="en-US" w:eastAsia="zh-CN"/>
        </w:rPr>
        <w:t>采样数据存放在 adc_bg_frames[32][10] 中。读取端调用 ns800_adc_background_latest()，根据EDMA当前写地址推算最新完整帧，并执行DCache失效，保证CPU读取到DMA写入后的新数据。函数还返回 seq，电机ISR用它判断采样帧是否更新，避免重复使用同一帧数据。</w:t>
      </w:r>
    </w:p>
    <w:p w14:paraId="1502FA2A">
      <w:pPr>
        <w:widowControl w:val="0"/>
        <w:numPr>
          <w:ilvl w:val="0"/>
          <w:numId w:val="0"/>
        </w:numPr>
        <w:spacing w:line="360" w:lineRule="auto"/>
        <w:ind w:firstLine="420" w:firstLineChars="0"/>
        <w:jc w:val="both"/>
        <w:rPr>
          <w:rFonts w:hint="eastAsia" w:cs="Times New Roman"/>
          <w:lang w:val="en-US" w:eastAsia="zh-CN"/>
        </w:rPr>
      </w:pPr>
      <w:r>
        <w:rPr>
          <w:rFonts w:hint="eastAsia" w:cs="Times New Roman"/>
          <w:b/>
          <w:bCs/>
          <w:lang w:val="en-US" w:eastAsia="zh-CN"/>
        </w:rPr>
        <w:t>跨模块数据流：</w:t>
      </w:r>
      <w:r>
        <w:rPr>
          <w:rFonts w:hint="eastAsia" w:cs="Times New Roman"/>
          <w:lang w:val="en-US" w:eastAsia="zh-CN"/>
        </w:rPr>
        <w:t>EPWM2电机控制ISR读取最新ADC帧，其中CH5、CH7、CH9映射为A/B/C三相电流，用于控制计算。OLED线程也读取同一最新帧，估算HV/LV功率和三相输出功率。FinSH命令 adc_bg_dump 可打印当前帧，用于现场调试。该设计实现了“一路硬件采样，多任务只读共享”。</w:t>
      </w:r>
    </w:p>
    <w:p w14:paraId="650D4BD0">
      <w:pPr>
        <w:numPr>
          <w:ilvl w:val="0"/>
          <w:numId w:val="6"/>
        </w:numPr>
        <w:ind w:left="425" w:leftChars="0" w:hanging="425" w:firstLineChars="0"/>
        <w:rPr>
          <w:rFonts w:hint="eastAsia" w:cs="Times New Roman"/>
          <w:b/>
          <w:bCs/>
          <w:lang w:val="en-US" w:eastAsia="zh-CN"/>
        </w:rPr>
      </w:pPr>
      <w:r>
        <w:rPr>
          <w:rFonts w:hint="eastAsia" w:cs="Times New Roman"/>
          <w:b/>
          <w:bCs/>
          <w:lang w:val="en-US" w:eastAsia="zh-CN"/>
        </w:rPr>
        <w:t>IIC+OLED显示功能与线程同步：</w:t>
      </w:r>
    </w:p>
    <w:p w14:paraId="10FAD8AF">
      <w:pPr>
        <w:widowControl w:val="0"/>
        <w:numPr>
          <w:ilvl w:val="0"/>
          <w:numId w:val="0"/>
        </w:numPr>
        <w:spacing w:line="360" w:lineRule="auto"/>
        <w:jc w:val="both"/>
      </w:pPr>
      <w:r>
        <w:drawing>
          <wp:inline distT="0" distB="0" distL="114300" distR="114300">
            <wp:extent cx="5270500" cy="2331085"/>
            <wp:effectExtent l="0" t="0" r="12700" b="5715"/>
            <wp:docPr id="2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
                    <pic:cNvPicPr>
                      <a:picLocks noChangeAspect="1"/>
                    </pic:cNvPicPr>
                  </pic:nvPicPr>
                  <pic:blipFill>
                    <a:blip r:embed="rId33"/>
                    <a:stretch>
                      <a:fillRect/>
                    </a:stretch>
                  </pic:blipFill>
                  <pic:spPr>
                    <a:xfrm>
                      <a:off x="0" y="0"/>
                      <a:ext cx="5270500" cy="2331085"/>
                    </a:xfrm>
                    <a:prstGeom prst="rect">
                      <a:avLst/>
                    </a:prstGeom>
                    <a:noFill/>
                    <a:ln>
                      <a:noFill/>
                    </a:ln>
                  </pic:spPr>
                </pic:pic>
              </a:graphicData>
            </a:graphic>
          </wp:inline>
        </w:drawing>
      </w:r>
    </w:p>
    <w:p w14:paraId="7C07F4A8">
      <w:pPr>
        <w:widowControl w:val="0"/>
        <w:numPr>
          <w:ilvl w:val="0"/>
          <w:numId w:val="0"/>
        </w:numPr>
        <w:spacing w:line="360" w:lineRule="auto"/>
        <w:ind w:firstLine="420" w:firstLineChars="0"/>
        <w:jc w:val="both"/>
        <w:rPr>
          <w:rFonts w:hint="eastAsia" w:cs="Times New Roman"/>
          <w:lang w:val="en-US" w:eastAsia="zh-CN"/>
        </w:rPr>
      </w:pPr>
      <w:r>
        <w:rPr>
          <w:rFonts w:hint="eastAsia" w:cs="Times New Roman"/>
          <w:lang w:val="en-US" w:eastAsia="zh-CN"/>
        </w:rPr>
        <w:t>IIC+OLED模块承担运行状态显示功能，用于展示HV/LV功率、输出功率、功率分配系数 xi、速度给定和力矩/电流给定等信息。该模块属于低速人机交互任务，不参与20 kHz控制闭环，因此放在RT-Thread线程中周期运行，避免显示刷新影响电机控制ISR。</w:t>
      </w:r>
    </w:p>
    <w:p w14:paraId="034ABB76">
      <w:pPr>
        <w:widowControl w:val="0"/>
        <w:numPr>
          <w:ilvl w:val="0"/>
          <w:numId w:val="0"/>
        </w:numPr>
        <w:spacing w:line="360" w:lineRule="auto"/>
        <w:ind w:firstLine="420" w:firstLineChars="0"/>
        <w:jc w:val="both"/>
        <w:rPr>
          <w:rFonts w:hint="eastAsia" w:cs="Times New Roman"/>
          <w:lang w:val="en-US" w:eastAsia="zh-CN"/>
        </w:rPr>
      </w:pPr>
      <w:r>
        <w:rPr>
          <w:rFonts w:hint="eastAsia" w:cs="Times New Roman"/>
          <w:b/>
          <w:bCs/>
          <w:lang w:val="en-US" w:eastAsia="zh-CN"/>
        </w:rPr>
        <w:t>初始化流程：</w:t>
      </w:r>
      <w:r>
        <w:rPr>
          <w:rFonts w:hint="eastAsia" w:cs="Times New Roman"/>
          <w:lang w:val="en-US" w:eastAsia="zh-CN"/>
        </w:rPr>
        <w:t>ns800_app_main() 调用 ns800_display_app_start() 创建 oled 线程。线程入口 ns800_display_thread_entry() 首先调用 ns800_sh1106_oled_start()，再由OLED驱动启动 ns800_i2c1_app_start()。I2C1初始化包括创建 i2c1 mutex、配置GPIO91/92为SDA/SCL、设置400 kHz主机波特率并使能I2C主机模块。</w:t>
      </w:r>
    </w:p>
    <w:p w14:paraId="3EBF19B9">
      <w:pPr>
        <w:widowControl w:val="0"/>
        <w:numPr>
          <w:ilvl w:val="0"/>
          <w:numId w:val="0"/>
        </w:numPr>
        <w:spacing w:line="360" w:lineRule="auto"/>
        <w:ind w:firstLine="420" w:firstLineChars="0"/>
        <w:jc w:val="both"/>
        <w:rPr>
          <w:rFonts w:hint="eastAsia" w:cs="Times New Roman"/>
          <w:lang w:val="en-US" w:eastAsia="zh-CN"/>
        </w:rPr>
      </w:pPr>
      <w:r>
        <w:rPr>
          <w:rFonts w:hint="eastAsia" w:cs="Times New Roman"/>
          <w:b/>
          <w:bCs/>
          <w:lang w:val="en-US" w:eastAsia="zh-CN"/>
        </w:rPr>
        <w:t>显示刷新流程：</w:t>
      </w:r>
      <w:r>
        <w:rPr>
          <w:rFonts w:hint="eastAsia" w:cs="Times New Roman"/>
          <w:lang w:val="en-US" w:eastAsia="zh-CN"/>
        </w:rPr>
        <w:t>OLED线程启动后进入周期循环，每100 ms调用 ns800_draw_status_page()。该函数读取ADC最新采样帧，计算HV/LV功率和三相总功率；同时读取 ns800_motor_app_get_status() 获取电机输出功率，并读取按键模块维护的 xi/speed/F 参数，最终写入SH1106 framebuffer并刷新屏幕。</w:t>
      </w:r>
    </w:p>
    <w:p w14:paraId="2D470FA5">
      <w:pPr>
        <w:widowControl w:val="0"/>
        <w:numPr>
          <w:ilvl w:val="0"/>
          <w:numId w:val="0"/>
        </w:numPr>
        <w:spacing w:line="360" w:lineRule="auto"/>
        <w:ind w:firstLine="420" w:firstLineChars="0"/>
        <w:jc w:val="both"/>
        <w:rPr>
          <w:rFonts w:hint="eastAsia" w:cs="Times New Roman"/>
          <w:lang w:val="en-US" w:eastAsia="zh-CN"/>
        </w:rPr>
      </w:pPr>
      <w:r>
        <w:rPr>
          <w:rFonts w:hint="eastAsia" w:cs="Times New Roman"/>
          <w:b/>
          <w:bCs/>
          <w:lang w:val="en-US" w:eastAsia="zh-CN"/>
        </w:rPr>
        <w:t>线程同步机制：</w:t>
      </w:r>
      <w:r>
        <w:rPr>
          <w:rFonts w:hint="eastAsia" w:cs="Times New Roman"/>
          <w:lang w:val="en-US" w:eastAsia="zh-CN"/>
        </w:rPr>
        <w:t>I2C1写操作集中封装在 ns800_i2c1_app_write() 中。每次发送前调用 rt_mutex_take(i2c1_lock, RT_WAITING_FOREVER)，发送完成后释放互斥量。当前主要由OLED线程使用I2C1，但互斥锁为后续扩展多个I2C外设提供总线级保护，防止多个线程同时发起I2C传输。</w:t>
      </w:r>
    </w:p>
    <w:p w14:paraId="7F9C80F9">
      <w:pPr>
        <w:widowControl w:val="0"/>
        <w:numPr>
          <w:ilvl w:val="0"/>
          <w:numId w:val="0"/>
        </w:numPr>
        <w:spacing w:line="360" w:lineRule="auto"/>
        <w:ind w:firstLine="420" w:firstLineChars="0"/>
        <w:jc w:val="both"/>
        <w:rPr>
          <w:rFonts w:hint="eastAsia" w:cs="Times New Roman"/>
          <w:lang w:val="en-US" w:eastAsia="zh-CN"/>
        </w:rPr>
      </w:pPr>
      <w:r>
        <w:rPr>
          <w:rFonts w:hint="eastAsia" w:cs="Times New Roman"/>
          <w:b/>
          <w:bCs/>
          <w:lang w:val="en-US" w:eastAsia="zh-CN"/>
        </w:rPr>
        <w:t>跨模块数据关系：</w:t>
      </w:r>
      <w:r>
        <w:rPr>
          <w:rFonts w:hint="eastAsia" w:cs="Times New Roman"/>
          <w:lang w:val="en-US" w:eastAsia="zh-CN"/>
        </w:rPr>
        <w:t>OLED显示线程是只读消费者：从ADC-DMA环形缓存读取采样数据，从电机应用状态读取控制输出，从按键线程读取用户设定参数。它不反向修改控制状态，也不进入ISR快路径。该设计将显示刷新与实时控制解耦，保证界面更新可见，同时不引入控制周期抖动。</w:t>
      </w:r>
    </w:p>
    <w:p w14:paraId="0A4E7E04">
      <w:pPr>
        <w:numPr>
          <w:ilvl w:val="0"/>
          <w:numId w:val="6"/>
        </w:numPr>
        <w:ind w:left="425" w:leftChars="0" w:hanging="425" w:firstLineChars="0"/>
        <w:rPr>
          <w:rFonts w:hint="eastAsia" w:cs="Times New Roman"/>
          <w:b/>
          <w:bCs/>
          <w:lang w:val="en-US" w:eastAsia="zh-CN"/>
        </w:rPr>
      </w:pPr>
      <w:r>
        <w:rPr>
          <w:rFonts w:hint="eastAsia" w:cs="Times New Roman"/>
          <w:b/>
          <w:bCs/>
          <w:lang w:val="en-US" w:eastAsia="zh-CN"/>
        </w:rPr>
        <w:t>功率分配PDSVM算法与控制系统实现：</w:t>
      </w:r>
    </w:p>
    <w:p w14:paraId="544B0BEB">
      <w:pPr>
        <w:widowControl w:val="0"/>
        <w:numPr>
          <w:ilvl w:val="0"/>
          <w:numId w:val="0"/>
        </w:numPr>
        <w:spacing w:line="360" w:lineRule="auto"/>
        <w:jc w:val="both"/>
      </w:pPr>
      <w:r>
        <w:drawing>
          <wp:inline distT="0" distB="0" distL="114300" distR="114300">
            <wp:extent cx="5273675" cy="3696970"/>
            <wp:effectExtent l="0" t="0" r="9525" b="11430"/>
            <wp:docPr id="2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0"/>
                    <pic:cNvPicPr>
                      <a:picLocks noChangeAspect="1"/>
                    </pic:cNvPicPr>
                  </pic:nvPicPr>
                  <pic:blipFill>
                    <a:blip r:embed="rId34"/>
                    <a:stretch>
                      <a:fillRect/>
                    </a:stretch>
                  </pic:blipFill>
                  <pic:spPr>
                    <a:xfrm>
                      <a:off x="0" y="0"/>
                      <a:ext cx="5273675" cy="3696970"/>
                    </a:xfrm>
                    <a:prstGeom prst="rect">
                      <a:avLst/>
                    </a:prstGeom>
                    <a:noFill/>
                    <a:ln>
                      <a:noFill/>
                    </a:ln>
                  </pic:spPr>
                </pic:pic>
              </a:graphicData>
            </a:graphic>
          </wp:inline>
        </w:drawing>
      </w:r>
    </w:p>
    <w:p w14:paraId="4A7F259D">
      <w:pPr>
        <w:ind w:left="0" w:leftChars="0" w:firstLine="420" w:firstLineChars="0"/>
        <w:jc w:val="both"/>
        <w:rPr>
          <w:rFonts w:hint="eastAsia" w:cs="Times New Roman"/>
          <w:lang w:val="en-US" w:eastAsia="zh-CN"/>
        </w:rPr>
      </w:pPr>
      <w:r>
        <w:rPr>
          <w:rFonts w:hint="eastAsia" w:cs="Times New Roman"/>
          <w:lang w:val="en-US" w:eastAsia="zh-CN"/>
        </w:rPr>
        <w:t>该部分采用“RT-Thread系统服务 + EPWM2硬实时控制ISR + PDSVM算法库 + EPWM8~13功率输出”的分层结构。RT-Thread负责 ns800_motor_app_start() 启动、motguard 故障保护线程、mottelem 遥测线程和FinSH调试命令；EPWM2 ISR以20 kHz执行控制快路径；motor/ 完成控制状态管理；pd_svm/ 完成坐标变换、PI、功率分配和双端口SVM占空比计算。</w:t>
      </w:r>
    </w:p>
    <w:p w14:paraId="4F3F70CD">
      <w:pPr>
        <w:ind w:left="0" w:leftChars="0" w:firstLine="420" w:firstLineChars="0"/>
        <w:jc w:val="both"/>
        <w:rPr>
          <w:rFonts w:hint="eastAsia" w:cs="Times New Roman"/>
          <w:lang w:val="en-US" w:eastAsia="zh-CN"/>
        </w:rPr>
      </w:pPr>
      <w:r>
        <w:rPr>
          <w:rFonts w:hint="eastAsia" w:cs="Times New Roman"/>
          <w:b/>
          <w:bCs/>
          <w:lang w:val="en-US" w:eastAsia="zh-CN"/>
        </w:rPr>
        <w:t>函数调用逻辑：</w:t>
      </w:r>
      <w:r>
        <w:rPr>
          <w:rFonts w:hint="eastAsia" w:cs="Times New Roman"/>
          <w:lang w:val="en-US" w:eastAsia="zh-CN"/>
        </w:rPr>
        <w:t>系统启动时，rttinit 线程调用 ns800_motor_app_start()，初始化电机参数、控制状态、RT-Thread事件和遥测ringbuffer，然后注册 ns800_motor_isr() 到EPWM2中断。运行时ISR依次调用 ns800_motor_fill_input()、ns800_motor_step()、ns800_pwm_app_write_svm()。其中 ns800_motor_step() 在OPEN_LOOP模式下生成旋转电压矢量，在闭环模式下保留Clarke/Park、速度PI、电流PI和解耦前馈流程。</w:t>
      </w:r>
    </w:p>
    <w:p w14:paraId="537179F4">
      <w:pPr>
        <w:ind w:left="0" w:leftChars="0" w:firstLine="420" w:firstLineChars="0"/>
        <w:jc w:val="both"/>
        <w:rPr>
          <w:rFonts w:hint="eastAsia" w:cs="Times New Roman"/>
          <w:lang w:val="en-US" w:eastAsia="zh-CN"/>
        </w:rPr>
      </w:pPr>
      <w:r>
        <w:rPr>
          <w:rFonts w:hint="eastAsia" w:cs="Times New Roman"/>
          <w:b/>
          <w:bCs/>
          <w:lang w:val="en-US" w:eastAsia="zh-CN"/>
        </w:rPr>
        <w:t>数据流关系：</w:t>
      </w:r>
      <w:r>
        <w:rPr>
          <w:rFonts w:hint="eastAsia" w:cs="Times New Roman"/>
          <w:lang w:val="en-US" w:eastAsia="zh-CN"/>
        </w:rPr>
        <w:t>控制输入来自三类数据：ADC-DMA最新帧提供三相电流，按键线程提供 xi/speed/F 参数，反馈接口预留机械角和速度。控制输出为 ns800_motor_output_t，包含电压指令、功率估计、双端口占空比和状态位。占空比直接写入EPWM8~13；故障状态通过 rt_event 发送给 motguard；降采样遥测通过 rt_ringbuffer 发送给 mottelem。因此实时控制和线程服务只通过轻量数据边界耦合。</w:t>
      </w:r>
    </w:p>
    <w:p w14:paraId="01B19B63">
      <w:pPr>
        <w:ind w:left="0" w:leftChars="0" w:firstLine="420" w:firstLineChars="0"/>
        <w:jc w:val="both"/>
        <w:rPr>
          <w:rFonts w:hint="eastAsia" w:cs="Times New Roman"/>
          <w:lang w:val="en-US" w:eastAsia="zh-CN"/>
        </w:rPr>
      </w:pPr>
      <w:r>
        <w:rPr>
          <w:rFonts w:hint="eastAsia" w:cs="Times New Roman"/>
          <w:b/>
          <w:bCs/>
          <w:lang w:val="en-US" w:eastAsia="zh-CN"/>
        </w:rPr>
        <w:t>功率分配算法：</w:t>
      </w:r>
      <w:r>
        <w:rPr>
          <w:rFonts w:hint="eastAsia" w:cs="Times New Roman"/>
          <w:lang w:val="en-US" w:eastAsia="zh-CN"/>
        </w:rPr>
        <w:t>PDSVM先按功率分配系数 xi 拆分同一个电压矢量：</w:t>
      </w:r>
    </w:p>
    <w:p w14:paraId="0BC0CDD5">
      <w:pPr>
        <w:ind w:left="0" w:leftChars="0" w:firstLine="0" w:firstLineChars="0"/>
        <w:jc w:val="center"/>
      </w:pPr>
      <w:r>
        <w:drawing>
          <wp:inline distT="0" distB="0" distL="114300" distR="114300">
            <wp:extent cx="5273040" cy="3540760"/>
            <wp:effectExtent l="0" t="0" r="10160" b="2540"/>
            <wp:docPr id="3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3"/>
                    <pic:cNvPicPr>
                      <a:picLocks noChangeAspect="1"/>
                    </pic:cNvPicPr>
                  </pic:nvPicPr>
                  <pic:blipFill>
                    <a:blip r:embed="rId35"/>
                    <a:stretch>
                      <a:fillRect/>
                    </a:stretch>
                  </pic:blipFill>
                  <pic:spPr>
                    <a:xfrm>
                      <a:off x="0" y="0"/>
                      <a:ext cx="5273040" cy="3540760"/>
                    </a:xfrm>
                    <a:prstGeom prst="rect">
                      <a:avLst/>
                    </a:prstGeom>
                    <a:noFill/>
                    <a:ln>
                      <a:noFill/>
                    </a:ln>
                  </pic:spPr>
                </pic:pic>
              </a:graphicData>
            </a:graphic>
          </wp:inline>
        </w:drawing>
      </w:r>
    </w:p>
    <w:p w14:paraId="3807DFE2">
      <w:pPr>
        <w:ind w:left="0" w:leftChars="0" w:firstLine="0" w:firstLineChars="0"/>
        <w:jc w:val="center"/>
      </w:pPr>
      <w:r>
        <w:drawing>
          <wp:inline distT="0" distB="0" distL="114300" distR="114300">
            <wp:extent cx="4391025" cy="438150"/>
            <wp:effectExtent l="0" t="0" r="3175" b="19050"/>
            <wp:docPr id="2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7"/>
                    <pic:cNvPicPr>
                      <a:picLocks noChangeAspect="1"/>
                    </pic:cNvPicPr>
                  </pic:nvPicPr>
                  <pic:blipFill>
                    <a:blip r:embed="rId36"/>
                    <a:stretch>
                      <a:fillRect/>
                    </a:stretch>
                  </pic:blipFill>
                  <pic:spPr>
                    <a:xfrm>
                      <a:off x="0" y="0"/>
                      <a:ext cx="4391025" cy="438150"/>
                    </a:xfrm>
                    <a:prstGeom prst="rect">
                      <a:avLst/>
                    </a:prstGeom>
                    <a:noFill/>
                    <a:ln>
                      <a:noFill/>
                    </a:ln>
                  </pic:spPr>
                </pic:pic>
              </a:graphicData>
            </a:graphic>
          </wp:inline>
        </w:drawing>
      </w:r>
    </w:p>
    <w:p w14:paraId="6DDDFE8A">
      <w:pPr>
        <w:ind w:left="0" w:leftChars="0" w:firstLine="420" w:firstLineChars="0"/>
        <w:jc w:val="both"/>
        <w:rPr>
          <w:rFonts w:hint="default"/>
          <w:lang w:val="en-US" w:eastAsia="zh-CN"/>
        </w:rPr>
      </w:pPr>
      <w:r>
        <w:rPr>
          <w:rFonts w:hint="default"/>
          <w:lang w:val="en-US" w:eastAsia="zh-CN"/>
        </w:rPr>
        <w:t>随后upper/lower分别调用端口SVM。扇区判断采用</w:t>
      </w:r>
    </w:p>
    <w:p w14:paraId="121715C7">
      <w:pPr>
        <w:ind w:left="0" w:leftChars="0" w:firstLine="0" w:firstLineChars="0"/>
        <w:jc w:val="center"/>
      </w:pPr>
      <w:r>
        <w:drawing>
          <wp:inline distT="0" distB="0" distL="114300" distR="114300">
            <wp:extent cx="4067175" cy="581025"/>
            <wp:effectExtent l="0" t="0" r="22225" b="3175"/>
            <wp:docPr id="2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8"/>
                    <pic:cNvPicPr>
                      <a:picLocks noChangeAspect="1"/>
                    </pic:cNvPicPr>
                  </pic:nvPicPr>
                  <pic:blipFill>
                    <a:blip r:embed="rId37"/>
                    <a:stretch>
                      <a:fillRect/>
                    </a:stretch>
                  </pic:blipFill>
                  <pic:spPr>
                    <a:xfrm>
                      <a:off x="0" y="0"/>
                      <a:ext cx="4067175" cy="581025"/>
                    </a:xfrm>
                    <a:prstGeom prst="rect">
                      <a:avLst/>
                    </a:prstGeom>
                    <a:noFill/>
                    <a:ln>
                      <a:noFill/>
                    </a:ln>
                  </pic:spPr>
                </pic:pic>
              </a:graphicData>
            </a:graphic>
          </wp:inline>
        </w:drawing>
      </w:r>
    </w:p>
    <w:p w14:paraId="3F2718A5">
      <w:pPr>
        <w:ind w:left="0" w:leftChars="0" w:firstLine="420" w:firstLineChars="0"/>
        <w:jc w:val="both"/>
      </w:pPr>
      <w:r>
        <w:rPr>
          <w:rFonts w:hint="eastAsia"/>
        </w:rPr>
        <w:t>端口SVM按扇区计算有效矢量时间，并用</w:t>
      </w:r>
    </w:p>
    <w:p w14:paraId="11FB2390">
      <w:pPr>
        <w:ind w:left="0" w:leftChars="0" w:firstLine="0" w:firstLineChars="0"/>
        <w:jc w:val="center"/>
      </w:pPr>
      <w:r>
        <w:drawing>
          <wp:inline distT="0" distB="0" distL="114300" distR="114300">
            <wp:extent cx="3209925" cy="571500"/>
            <wp:effectExtent l="0" t="0" r="3175" b="0"/>
            <wp:docPr id="2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9"/>
                    <pic:cNvPicPr>
                      <a:picLocks noChangeAspect="1"/>
                    </pic:cNvPicPr>
                  </pic:nvPicPr>
                  <pic:blipFill>
                    <a:blip r:embed="rId38"/>
                    <a:stretch>
                      <a:fillRect/>
                    </a:stretch>
                  </pic:blipFill>
                  <pic:spPr>
                    <a:xfrm>
                      <a:off x="0" y="0"/>
                      <a:ext cx="3209925" cy="571500"/>
                    </a:xfrm>
                    <a:prstGeom prst="rect">
                      <a:avLst/>
                    </a:prstGeom>
                    <a:noFill/>
                    <a:ln>
                      <a:noFill/>
                    </a:ln>
                  </pic:spPr>
                </pic:pic>
              </a:graphicData>
            </a:graphic>
          </wp:inline>
        </w:drawing>
      </w:r>
    </w:p>
    <w:p w14:paraId="115B240A">
      <w:pPr>
        <w:jc w:val="both"/>
        <w:rPr>
          <w:rFonts w:hint="default"/>
          <w:lang w:val="en-US" w:eastAsia="zh-CN"/>
        </w:rPr>
      </w:pPr>
      <w:r>
        <w:rPr>
          <w:rFonts w:hint="default"/>
          <w:lang w:val="en-US" w:eastAsia="zh-CN"/>
        </w:rPr>
        <w:t>生成占空比。</w:t>
      </w:r>
    </w:p>
    <w:p w14:paraId="0DF994C5">
      <w:pPr>
        <w:ind w:left="0" w:leftChars="0" w:firstLine="0" w:firstLineChars="0"/>
        <w:jc w:val="center"/>
        <w:rPr>
          <w:rFonts w:hint="default"/>
          <w:lang w:val="en-US" w:eastAsia="zh-CN"/>
        </w:rPr>
      </w:pPr>
      <w:r>
        <w:drawing>
          <wp:inline distT="0" distB="0" distL="114300" distR="114300">
            <wp:extent cx="2333625" cy="1104900"/>
            <wp:effectExtent l="0" t="0" r="3175" b="0"/>
            <wp:docPr id="3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4"/>
                    <pic:cNvPicPr>
                      <a:picLocks noChangeAspect="1"/>
                    </pic:cNvPicPr>
                  </pic:nvPicPr>
                  <pic:blipFill>
                    <a:blip r:embed="rId39"/>
                    <a:stretch>
                      <a:fillRect/>
                    </a:stretch>
                  </pic:blipFill>
                  <pic:spPr>
                    <a:xfrm>
                      <a:off x="0" y="0"/>
                      <a:ext cx="2333625" cy="1104900"/>
                    </a:xfrm>
                    <a:prstGeom prst="rect">
                      <a:avLst/>
                    </a:prstGeom>
                    <a:noFill/>
                    <a:ln>
                      <a:noFill/>
                    </a:ln>
                  </pic:spPr>
                </pic:pic>
              </a:graphicData>
            </a:graphic>
          </wp:inline>
        </w:drawing>
      </w:r>
      <w:r>
        <w:drawing>
          <wp:inline distT="0" distB="0" distL="114300" distR="114300">
            <wp:extent cx="2732405" cy="1066800"/>
            <wp:effectExtent l="0" t="0" r="10795" b="0"/>
            <wp:docPr id="3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5"/>
                    <pic:cNvPicPr>
                      <a:picLocks noChangeAspect="1"/>
                    </pic:cNvPicPr>
                  </pic:nvPicPr>
                  <pic:blipFill>
                    <a:blip r:embed="rId40"/>
                    <a:stretch>
                      <a:fillRect/>
                    </a:stretch>
                  </pic:blipFill>
                  <pic:spPr>
                    <a:xfrm>
                      <a:off x="0" y="0"/>
                      <a:ext cx="2732405" cy="1066800"/>
                    </a:xfrm>
                    <a:prstGeom prst="rect">
                      <a:avLst/>
                    </a:prstGeom>
                    <a:noFill/>
                    <a:ln>
                      <a:noFill/>
                    </a:ln>
                  </pic:spPr>
                </pic:pic>
              </a:graphicData>
            </a:graphic>
          </wp:inline>
        </w:drawing>
      </w:r>
    </w:p>
    <w:p w14:paraId="28A4E4E9">
      <w:pPr>
        <w:jc w:val="both"/>
        <w:rPr>
          <w:rFonts w:hint="default"/>
          <w:lang w:val="en-US" w:eastAsia="zh-CN"/>
        </w:rPr>
      </w:pPr>
      <w:r>
        <w:rPr>
          <w:rFonts w:hint="default"/>
          <w:lang w:val="en-US" w:eastAsia="zh-CN"/>
        </w:rPr>
        <w:t>代码中upper端口 kk=0，lower端口 kk=1，两端口零矢量偏置不同，最终形成六组占空比并映射到EPWM8/9、EPWM10/11、EPWM12/13。</w:t>
      </w:r>
    </w:p>
    <w:p w14:paraId="2C190C10">
      <w:pPr>
        <w:jc w:val="both"/>
        <w:rPr>
          <w:rFonts w:hint="eastAsia"/>
          <w:lang w:val="en-US" w:eastAsia="zh-CN"/>
        </w:rPr>
      </w:pPr>
      <w:r>
        <w:rPr>
          <w:rFonts w:hint="eastAsia"/>
          <w:lang w:val="en-US" w:eastAsia="zh-CN"/>
        </w:rPr>
        <w:t>功率分配情况如下所示：</w:t>
      </w:r>
    </w:p>
    <w:p w14:paraId="319B7A3B">
      <w:pPr>
        <w:ind w:left="0" w:leftChars="0" w:firstLine="0" w:firstLineChars="0"/>
        <w:jc w:val="center"/>
        <w:rPr>
          <w:rFonts w:hint="default"/>
          <w:lang w:val="en-US" w:eastAsia="zh-CN"/>
        </w:rPr>
      </w:pPr>
      <w:r>
        <w:drawing>
          <wp:inline distT="0" distB="0" distL="114300" distR="114300">
            <wp:extent cx="3800475" cy="904875"/>
            <wp:effectExtent l="0" t="0" r="9525" b="9525"/>
            <wp:docPr id="2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2"/>
                    <pic:cNvPicPr>
                      <a:picLocks noChangeAspect="1"/>
                    </pic:cNvPicPr>
                  </pic:nvPicPr>
                  <pic:blipFill>
                    <a:blip r:embed="rId41"/>
                    <a:stretch>
                      <a:fillRect/>
                    </a:stretch>
                  </pic:blipFill>
                  <pic:spPr>
                    <a:xfrm>
                      <a:off x="0" y="0"/>
                      <a:ext cx="3800475" cy="904875"/>
                    </a:xfrm>
                    <a:prstGeom prst="rect">
                      <a:avLst/>
                    </a:prstGeom>
                    <a:noFill/>
                    <a:ln>
                      <a:noFill/>
                    </a:ln>
                  </pic:spPr>
                </pic:pic>
              </a:graphicData>
            </a:graphic>
          </wp:inline>
        </w:drawing>
      </w:r>
    </w:p>
    <w:p w14:paraId="5C975D49">
      <w:pPr>
        <w:numPr>
          <w:ilvl w:val="0"/>
          <w:numId w:val="6"/>
        </w:numPr>
        <w:ind w:left="425" w:leftChars="0" w:hanging="425" w:firstLineChars="0"/>
        <w:jc w:val="both"/>
        <w:rPr>
          <w:rFonts w:hint="default" w:eastAsia="宋体"/>
          <w:lang w:val="en-US" w:eastAsia="zh-CN"/>
        </w:rPr>
      </w:pPr>
      <w:r>
        <w:rPr>
          <w:rFonts w:hint="eastAsia"/>
          <w:lang w:val="en-US" w:eastAsia="zh-CN"/>
        </w:rPr>
        <w:t>RT-Thread适配编译脚本(基于SCons工具)：</w:t>
      </w:r>
    </w:p>
    <w:p w14:paraId="5666E231">
      <w:pPr>
        <w:widowControl w:val="0"/>
        <w:numPr>
          <w:ilvl w:val="0"/>
          <w:numId w:val="0"/>
        </w:numPr>
        <w:spacing w:line="360" w:lineRule="auto"/>
        <w:ind w:firstLine="420" w:firstLineChars="0"/>
        <w:jc w:val="both"/>
        <w:rPr>
          <w:rFonts w:hint="default" w:eastAsia="宋体"/>
          <w:lang w:val="en-US" w:eastAsia="zh-CN"/>
        </w:rPr>
      </w:pPr>
      <w:r>
        <w:rPr>
          <w:rFonts w:hint="default" w:eastAsia="宋体"/>
          <w:lang w:val="en-US" w:eastAsia="zh-CN"/>
        </w:rPr>
        <w:t>本工程采用RT-Thread标准SCons构建体系。顶层 SConstruct 负责确定 RTT_ROOT、加载 tools/building.py，并通过 PrepareBuilding() 引入RT-Thread内核、组件和BSP构建规则。编译前脚本会检查 CMSIS-Core-latest 与 novosns-series-latest 是否存在，缺失时提示执行 pkgs --update。</w:t>
      </w:r>
    </w:p>
    <w:p w14:paraId="519E6EC6">
      <w:pPr>
        <w:widowControl w:val="0"/>
        <w:numPr>
          <w:ilvl w:val="0"/>
          <w:numId w:val="0"/>
        </w:numPr>
        <w:spacing w:line="360" w:lineRule="auto"/>
        <w:ind w:firstLine="420" w:firstLineChars="0"/>
        <w:jc w:val="both"/>
        <w:rPr>
          <w:rFonts w:hint="default" w:eastAsia="宋体"/>
          <w:lang w:val="en-US" w:eastAsia="zh-CN"/>
        </w:rPr>
      </w:pPr>
      <w:r>
        <w:rPr>
          <w:rFonts w:hint="default" w:eastAsia="宋体"/>
          <w:lang w:val="en-US" w:eastAsia="zh-CN"/>
        </w:rPr>
        <w:t>applications/SConscript 递归收集 applications/ 下的 .c 文件，并自动加入头文件路径，因此PDSVM、电机控制、ADC、OLED、按键等模块可直接纳入构建。</w:t>
      </w:r>
    </w:p>
    <w:p w14:paraId="3836684C">
      <w:pPr>
        <w:widowControl w:val="0"/>
        <w:numPr>
          <w:ilvl w:val="0"/>
          <w:numId w:val="0"/>
        </w:numPr>
        <w:spacing w:line="360" w:lineRule="auto"/>
        <w:ind w:firstLine="420" w:firstLineChars="0"/>
        <w:jc w:val="both"/>
        <w:rPr>
          <w:rFonts w:hint="default" w:eastAsia="宋体"/>
          <w:lang w:val="en-US" w:eastAsia="zh-CN"/>
        </w:rPr>
      </w:pPr>
      <w:r>
        <w:rPr>
          <w:rFonts w:hint="default" w:eastAsia="宋体"/>
          <w:lang w:val="en-US" w:eastAsia="zh-CN"/>
        </w:rPr>
        <w:t>libraries/HAL_Drivers/drivers/SConscript 根据 rtconfig.h 中的宏选择驱动源码，例如 BSP_USING_GPIO、BSP_USING_UART、BSP_USING_ADC、BSP_USING_CAN。这些宏同时决定驱动是否通过RT-Thread设备框架注册。</w:t>
      </w:r>
    </w:p>
    <w:p w14:paraId="570A0B68">
      <w:pPr>
        <w:widowControl w:val="0"/>
        <w:numPr>
          <w:ilvl w:val="0"/>
          <w:numId w:val="0"/>
        </w:numPr>
        <w:spacing w:line="360" w:lineRule="auto"/>
        <w:jc w:val="both"/>
        <w:rPr>
          <w:rFonts w:hint="default" w:eastAsia="宋体"/>
          <w:lang w:val="en-US" w:eastAsia="zh-CN"/>
        </w:rPr>
      </w:pPr>
      <w:r>
        <w:rPr>
          <w:rFonts w:hint="default" w:eastAsia="宋体"/>
          <w:lang w:val="en-US" w:eastAsia="zh-CN"/>
        </w:rPr>
        <w:t>整体上，SCons脚本实现了“RT-Thread内核 + NOVOSNS驱动 + 应用功能模块”的统一构建与可配置裁剪。</w:t>
      </w:r>
    </w:p>
    <w:p w14:paraId="505BF333">
      <w:pPr>
        <w:ind w:left="0" w:leftChars="0" w:firstLine="0" w:firstLineChars="0"/>
        <w:jc w:val="center"/>
        <w:rPr>
          <w:rFonts w:hint="eastAsia" w:cs="Times New Roman"/>
        </w:rPr>
      </w:pPr>
      <w:r>
        <w:drawing>
          <wp:inline distT="0" distB="0" distL="114300" distR="114300">
            <wp:extent cx="5180965" cy="3790315"/>
            <wp:effectExtent l="0" t="0" r="635" b="196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2"/>
                    <a:stretch>
                      <a:fillRect/>
                    </a:stretch>
                  </pic:blipFill>
                  <pic:spPr>
                    <a:xfrm>
                      <a:off x="0" y="0"/>
                      <a:ext cx="5180965" cy="3790315"/>
                    </a:xfrm>
                    <a:prstGeom prst="rect">
                      <a:avLst/>
                    </a:prstGeom>
                    <a:noFill/>
                    <a:ln>
                      <a:noFill/>
                    </a:ln>
                  </pic:spPr>
                </pic:pic>
              </a:graphicData>
            </a:graphic>
          </wp:inline>
        </w:drawing>
      </w:r>
    </w:p>
    <w:p w14:paraId="1B55FAA0">
      <w:pPr>
        <w:rPr>
          <w:rFonts w:hint="eastAsia"/>
        </w:rPr>
      </w:pPr>
      <w:r>
        <w:rPr>
          <w:rFonts w:hint="eastAsia"/>
        </w:rPr>
        <w:br w:type="page"/>
      </w:r>
    </w:p>
    <w:p w14:paraId="3965F79B">
      <w:pPr>
        <w:pStyle w:val="2"/>
        <w:bidi w:val="0"/>
      </w:pPr>
      <w:r>
        <w:rPr>
          <w:rFonts w:hint="eastAsia"/>
        </w:rPr>
        <w:t xml:space="preserve">第三部分 </w:t>
      </w:r>
      <w:r>
        <w:t xml:space="preserve"> </w:t>
      </w:r>
      <w:r>
        <w:rPr>
          <w:rFonts w:hint="eastAsia"/>
        </w:rPr>
        <w:t>完成情况及性能参数</w:t>
      </w:r>
    </w:p>
    <w:p w14:paraId="625A2306">
      <w:pPr>
        <w:pStyle w:val="3"/>
        <w:numPr>
          <w:ilvl w:val="1"/>
          <w:numId w:val="7"/>
        </w:numPr>
        <w:bidi w:val="0"/>
      </w:pPr>
      <w:r>
        <w:rPr>
          <w:rFonts w:hint="eastAsia" w:cs="Times New Roman"/>
        </w:rPr>
        <w:t xml:space="preserve"> 整体介绍</w:t>
      </w:r>
    </w:p>
    <w:p w14:paraId="7D5DB8B5">
      <w:pPr>
        <w:ind w:left="0" w:leftChars="0" w:firstLine="0" w:firstLineChars="0"/>
        <w:jc w:val="center"/>
      </w:pPr>
      <w:r>
        <w:drawing>
          <wp:inline distT="0" distB="0" distL="114300" distR="114300">
            <wp:extent cx="3302000" cy="4408805"/>
            <wp:effectExtent l="0" t="0" r="0" b="0"/>
            <wp:docPr id="5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2"/>
                    <pic:cNvPicPr>
                      <a:picLocks noChangeAspect="1"/>
                    </pic:cNvPicPr>
                  </pic:nvPicPr>
                  <pic:blipFill>
                    <a:blip r:embed="rId43"/>
                    <a:srcRect t="17588" b="20820"/>
                    <a:stretch>
                      <a:fillRect/>
                    </a:stretch>
                  </pic:blipFill>
                  <pic:spPr>
                    <a:xfrm>
                      <a:off x="0" y="0"/>
                      <a:ext cx="3302000" cy="4408805"/>
                    </a:xfrm>
                    <a:prstGeom prst="rect">
                      <a:avLst/>
                    </a:prstGeom>
                    <a:noFill/>
                    <a:ln>
                      <a:noFill/>
                    </a:ln>
                  </pic:spPr>
                </pic:pic>
              </a:graphicData>
            </a:graphic>
          </wp:inline>
        </w:drawing>
      </w:r>
    </w:p>
    <w:p w14:paraId="72159664">
      <w:pPr>
        <w:ind w:left="0" w:leftChars="0" w:firstLine="420" w:firstLineChars="0"/>
        <w:jc w:val="both"/>
        <w:rPr>
          <w:rFonts w:hint="eastAsia"/>
          <w:lang w:val="en-US" w:eastAsia="zh-CN"/>
        </w:rPr>
      </w:pPr>
      <w:r>
        <w:rPr>
          <w:rFonts w:hint="eastAsia"/>
          <w:lang w:val="en-US" w:eastAsia="zh-CN"/>
        </w:rPr>
        <w:t>如图，展示的是单级式多端口NPC型三电平拓扑逆变器。其中DC1端口连接高压直流端口，DC2端口连接低压直流端口，构成多端口特征。AC为逆变器交流输出，连接负载。</w:t>
      </w:r>
    </w:p>
    <w:p w14:paraId="2F1CAF79">
      <w:pPr>
        <w:ind w:left="0" w:leftChars="0" w:firstLine="420" w:firstLineChars="0"/>
        <w:jc w:val="both"/>
        <w:rPr>
          <w:rFonts w:hint="default" w:eastAsia="宋体"/>
          <w:lang w:val="en-US" w:eastAsia="zh-CN"/>
        </w:rPr>
      </w:pPr>
      <w:r>
        <w:rPr>
          <w:rFonts w:hint="eastAsia"/>
          <w:lang w:val="en-US" w:eastAsia="zh-CN"/>
        </w:rPr>
        <w:t>每相桥臂的开关管由4个IGBT与2个二极管组成，构成NPC型三电平拓扑结构。</w:t>
      </w:r>
    </w:p>
    <w:p w14:paraId="62BA2E3B">
      <w:pPr>
        <w:ind w:left="0" w:leftChars="0" w:firstLine="0" w:firstLineChars="0"/>
        <w:jc w:val="center"/>
        <w:rPr>
          <w:rFonts w:hint="eastAsia" w:eastAsia="宋体" w:cs="Times New Roman"/>
          <w:lang w:eastAsia="zh-CN"/>
        </w:rPr>
      </w:pPr>
      <w:r>
        <w:rPr>
          <w:rFonts w:hint="eastAsia" w:eastAsia="宋体" w:cs="Times New Roman"/>
          <w:lang w:eastAsia="zh-CN"/>
        </w:rPr>
        <w:drawing>
          <wp:inline distT="0" distB="0" distL="114300" distR="114300">
            <wp:extent cx="3912870" cy="2934970"/>
            <wp:effectExtent l="0" t="0" r="11430" b="11430"/>
            <wp:docPr id="49" name="图片 49" descr="/Users/nino/Library/Containers/com.kingsoft.wpsoffice.mac/Data/tmp/picturecompress_20260709104626/output_1.jpgoutpu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Users/nino/Library/Containers/com.kingsoft.wpsoffice.mac/Data/tmp/picturecompress_20260709104626/output_1.jpgoutput_1"/>
                    <pic:cNvPicPr>
                      <a:picLocks noChangeAspect="1"/>
                    </pic:cNvPicPr>
                  </pic:nvPicPr>
                  <pic:blipFill>
                    <a:blip r:embed="rId44"/>
                    <a:stretch>
                      <a:fillRect/>
                    </a:stretch>
                  </pic:blipFill>
                  <pic:spPr>
                    <a:xfrm>
                      <a:off x="0" y="0"/>
                      <a:ext cx="3912870" cy="2934970"/>
                    </a:xfrm>
                    <a:prstGeom prst="rect">
                      <a:avLst/>
                    </a:prstGeom>
                  </pic:spPr>
                </pic:pic>
              </a:graphicData>
            </a:graphic>
          </wp:inline>
        </w:drawing>
      </w:r>
    </w:p>
    <w:p w14:paraId="28411318">
      <w:pPr>
        <w:ind w:left="0" w:leftChars="0" w:firstLine="420" w:firstLineChars="0"/>
        <w:jc w:val="both"/>
        <w:rPr>
          <w:rFonts w:hint="default" w:eastAsia="宋体" w:cs="Times New Roman"/>
          <w:lang w:val="en-US" w:eastAsia="zh-CN"/>
        </w:rPr>
      </w:pPr>
      <w:r>
        <w:rPr>
          <w:rFonts w:hint="eastAsia" w:cs="Times New Roman"/>
          <w:lang w:val="en-US" w:eastAsia="zh-CN"/>
        </w:rPr>
        <w:t>如图，展示的是数字系统控制板与三相桥臂的连接与系统整体构成。左侧为纳芯微NS800开发板及其拓展板，右侧为三相桥臂。</w:t>
      </w:r>
    </w:p>
    <w:p w14:paraId="60872FDC">
      <w:pPr>
        <w:pStyle w:val="3"/>
        <w:numPr>
          <w:ilvl w:val="1"/>
          <w:numId w:val="7"/>
        </w:numPr>
        <w:bidi w:val="0"/>
      </w:pPr>
      <w:r>
        <w:rPr>
          <w:rFonts w:hint="eastAsia"/>
        </w:rPr>
        <w:t xml:space="preserve"> 工程成果</w:t>
      </w:r>
    </w:p>
    <w:p w14:paraId="71D0A561">
      <w:pPr>
        <w:pStyle w:val="4"/>
        <w:bidi w:val="0"/>
      </w:pPr>
      <w:r>
        <w:rPr>
          <w:rFonts w:hint="eastAsia"/>
        </w:rPr>
        <w:t>3.2.</w:t>
      </w:r>
      <w:r>
        <w:rPr>
          <w:rFonts w:hint="eastAsia"/>
          <w:lang w:val="en-US" w:eastAsia="zh-CN"/>
        </w:rPr>
        <w:t>1</w:t>
      </w:r>
      <w:r>
        <w:t xml:space="preserve"> </w:t>
      </w:r>
      <w:r>
        <w:rPr>
          <w:rFonts w:hint="eastAsia"/>
        </w:rPr>
        <w:t>电路成果；</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06"/>
        <w:gridCol w:w="3972"/>
      </w:tblGrid>
      <w:tr w14:paraId="24966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78" w:type="dxa"/>
            <w:gridSpan w:val="2"/>
            <w:tcBorders>
              <w:top w:val="nil"/>
              <w:left w:val="nil"/>
              <w:bottom w:val="nil"/>
              <w:right w:val="nil"/>
            </w:tcBorders>
            <w:vAlign w:val="top"/>
          </w:tcPr>
          <w:p w14:paraId="4ABC7D03">
            <w:pPr>
              <w:pStyle w:val="16"/>
              <w:ind w:firstLine="0" w:firstLineChars="0"/>
              <w:jc w:val="left"/>
              <w:rPr>
                <w:rFonts w:cs="Times New Roman"/>
                <w:b/>
                <w:bCs/>
              </w:rPr>
            </w:pPr>
            <w:r>
              <w:drawing>
                <wp:inline distT="0" distB="0" distL="0" distR="0">
                  <wp:extent cx="1416050" cy="2474595"/>
                  <wp:effectExtent l="0" t="0" r="1905" b="6350"/>
                  <wp:docPr id="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
                          <pic:cNvPicPr>
                            <a:picLocks noChangeAspect="1"/>
                          </pic:cNvPicPr>
                        </pic:nvPicPr>
                        <pic:blipFill>
                          <a:blip r:embed="rId45" cstate="print">
                            <a:extLst>
                              <a:ext uri="{BEBA8EAE-BF5A-486C-A8C5-ECC9F3942E4B}">
                                <a14:imgProps xmlns:a14="http://schemas.microsoft.com/office/drawing/2010/main">
                                  <a14:imgLayer r:embed="rId46">
                                    <a14:imgEffect>
                                      <a14:saturation sat="300000"/>
                                    </a14:imgEffect>
                                  </a14:imgLayer>
                                </a14:imgProps>
                              </a:ext>
                              <a:ext uri="{28A0092B-C50C-407E-A947-70E740481C1C}">
                                <a14:useLocalDpi xmlns:a14="http://schemas.microsoft.com/office/drawing/2010/main" val="0"/>
                              </a:ext>
                            </a:extLst>
                          </a:blip>
                          <a:srcRect l="16138" t="9597" r="19450" b="6128"/>
                          <a:stretch>
                            <a:fillRect/>
                          </a:stretch>
                        </pic:blipFill>
                        <pic:spPr>
                          <a:xfrm rot="16200000">
                            <a:off x="0" y="0"/>
                            <a:ext cx="1416050" cy="2474595"/>
                          </a:xfrm>
                          <a:prstGeom prst="rect">
                            <a:avLst/>
                          </a:prstGeom>
                          <a:noFill/>
                          <a:ln>
                            <a:noFill/>
                          </a:ln>
                        </pic:spPr>
                      </pic:pic>
                    </a:graphicData>
                  </a:graphic>
                </wp:inline>
              </w:drawing>
            </w:r>
            <w:r>
              <w:rPr>
                <w:rFonts w:cs="Times New Roman"/>
              </w:rPr>
              <w:drawing>
                <wp:inline distT="0" distB="0" distL="0" distR="0">
                  <wp:extent cx="2361565" cy="1430655"/>
                  <wp:effectExtent l="0" t="0" r="635" b="4445"/>
                  <wp:docPr id="4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7"/>
                          <pic:cNvPicPr>
                            <a:picLocks noChangeAspect="1" noChangeArrowheads="1"/>
                          </pic:cNvPicPr>
                        </pic:nvPicPr>
                        <pic:blipFill>
                          <a:blip r:embed="rId47" cstate="print">
                            <a:extLst>
                              <a:ext uri="{BEBA8EAE-BF5A-486C-A8C5-ECC9F3942E4B}">
                                <a14:imgProps xmlns:a14="http://schemas.microsoft.com/office/drawing/2010/main">
                                  <a14:imgLayer r:embed="rId48">
                                    <a14:imgEffect>
                                      <a14:saturation sat="200000"/>
                                    </a14:imgEffect>
                                  </a14:imgLayer>
                                </a14:imgProps>
                              </a:ext>
                              <a:ext uri="{28A0092B-C50C-407E-A947-70E740481C1C}">
                                <a14:useLocalDpi xmlns:a14="http://schemas.microsoft.com/office/drawing/2010/main" val="0"/>
                              </a:ext>
                            </a:extLst>
                          </a:blip>
                          <a:srcRect l="5896" t="16297" r="4604" b="11430"/>
                          <a:stretch>
                            <a:fillRect/>
                          </a:stretch>
                        </pic:blipFill>
                        <pic:spPr>
                          <a:xfrm rot="10800000">
                            <a:off x="0" y="0"/>
                            <a:ext cx="2361565" cy="1430655"/>
                          </a:xfrm>
                          <a:prstGeom prst="rect">
                            <a:avLst/>
                          </a:prstGeom>
                          <a:noFill/>
                          <a:ln>
                            <a:noFill/>
                          </a:ln>
                        </pic:spPr>
                      </pic:pic>
                    </a:graphicData>
                  </a:graphic>
                </wp:inline>
              </w:drawing>
            </w:r>
          </w:p>
        </w:tc>
      </w:tr>
      <w:tr w14:paraId="232BD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78" w:type="dxa"/>
            <w:gridSpan w:val="2"/>
            <w:tcBorders>
              <w:top w:val="nil"/>
              <w:left w:val="nil"/>
              <w:bottom w:val="nil"/>
              <w:right w:val="nil"/>
            </w:tcBorders>
            <w:vAlign w:val="top"/>
          </w:tcPr>
          <w:p w14:paraId="7F1106A9">
            <w:pPr>
              <w:pStyle w:val="16"/>
              <w:ind w:firstLine="0" w:firstLineChars="0"/>
              <w:jc w:val="center"/>
              <w:rPr>
                <w:rFonts w:cs="Times New Roman"/>
                <w:b/>
                <w:bCs/>
              </w:rPr>
            </w:pPr>
            <w:r>
              <w:rPr>
                <w:rFonts w:ascii="宋体" w:hAnsi="宋体" w:eastAsia="宋体" w:cs="宋体"/>
                <w:sz w:val="24"/>
                <w:szCs w:val="24"/>
              </w:rPr>
              <w:t>三电平单级多端口逆变器</w:t>
            </w:r>
          </w:p>
        </w:tc>
      </w:tr>
      <w:tr w14:paraId="78AE1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06" w:type="dxa"/>
            <w:tcBorders>
              <w:top w:val="nil"/>
              <w:left w:val="nil"/>
              <w:bottom w:val="nil"/>
              <w:right w:val="nil"/>
            </w:tcBorders>
            <w:vAlign w:val="top"/>
          </w:tcPr>
          <w:p w14:paraId="6D54157B">
            <w:pPr>
              <w:pStyle w:val="16"/>
              <w:ind w:firstLine="0" w:firstLineChars="0"/>
              <w:jc w:val="center"/>
              <w:rPr>
                <w:rFonts w:cs="Times New Roman"/>
                <w:b/>
                <w:bCs/>
              </w:rPr>
            </w:pPr>
            <w:r>
              <w:rPr>
                <w:rFonts w:cs="Times New Roman"/>
              </w:rPr>
              <w:drawing>
                <wp:inline distT="0" distB="0" distL="0" distR="0">
                  <wp:extent cx="1772920" cy="1574800"/>
                  <wp:effectExtent l="0" t="0" r="0" b="5080"/>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noChangeArrowheads="1"/>
                          </pic:cNvPicPr>
                        </pic:nvPicPr>
                        <pic:blipFill>
                          <a:blip r:embed="rId49" cstate="print">
                            <a:extLst>
                              <a:ext uri="{BEBA8EAE-BF5A-486C-A8C5-ECC9F3942E4B}">
                                <a14:imgProps xmlns:a14="http://schemas.microsoft.com/office/drawing/2010/main">
                                  <a14:imgLayer r:embed="rId50">
                                    <a14:imgEffect>
                                      <a14:saturation sat="300000"/>
                                    </a14:imgEffect>
                                  </a14:imgLayer>
                                </a14:imgProps>
                              </a:ext>
                              <a:ext uri="{28A0092B-C50C-407E-A947-70E740481C1C}">
                                <a14:useLocalDpi xmlns:a14="http://schemas.microsoft.com/office/drawing/2010/main" val="0"/>
                              </a:ext>
                            </a:extLst>
                          </a:blip>
                          <a:srcRect l="17658" t="13475" r="23410" b="16750"/>
                          <a:stretch>
                            <a:fillRect/>
                          </a:stretch>
                        </pic:blipFill>
                        <pic:spPr>
                          <a:xfrm rot="16200000">
                            <a:off x="0" y="0"/>
                            <a:ext cx="1772920" cy="1574800"/>
                          </a:xfrm>
                          <a:prstGeom prst="rect">
                            <a:avLst/>
                          </a:prstGeom>
                          <a:noFill/>
                          <a:ln>
                            <a:noFill/>
                          </a:ln>
                        </pic:spPr>
                      </pic:pic>
                    </a:graphicData>
                  </a:graphic>
                </wp:inline>
              </w:drawing>
            </w:r>
          </w:p>
        </w:tc>
        <w:tc>
          <w:tcPr>
            <w:tcW w:w="3972" w:type="dxa"/>
            <w:tcBorders>
              <w:top w:val="nil"/>
              <w:left w:val="nil"/>
              <w:bottom w:val="nil"/>
              <w:right w:val="nil"/>
            </w:tcBorders>
            <w:vAlign w:val="center"/>
          </w:tcPr>
          <w:p w14:paraId="5C66D7E1">
            <w:pPr>
              <w:pStyle w:val="16"/>
              <w:ind w:firstLine="0" w:firstLineChars="0"/>
              <w:jc w:val="center"/>
              <w:rPr>
                <w:rFonts w:cs="Times New Roman"/>
                <w:b/>
                <w:bCs/>
              </w:rPr>
            </w:pPr>
            <w:r>
              <w:rPr>
                <w:rFonts w:cs="Times New Roman"/>
              </w:rPr>
              <w:drawing>
                <wp:inline distT="0" distB="0" distL="0" distR="0">
                  <wp:extent cx="1633220" cy="1917700"/>
                  <wp:effectExtent l="0" t="0" r="0" b="5080"/>
                  <wp:docPr id="5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9"/>
                          <pic:cNvPicPr>
                            <a:picLocks noChangeAspect="1" noChangeArrowheads="1"/>
                          </pic:cNvPicPr>
                        </pic:nvPicPr>
                        <pic:blipFill>
                          <a:blip r:embed="rId51" cstate="print">
                            <a:extLst>
                              <a:ext uri="{28A0092B-C50C-407E-A947-70E740481C1C}">
                                <a14:useLocalDpi xmlns:a14="http://schemas.microsoft.com/office/drawing/2010/main" val="0"/>
                              </a:ext>
                            </a:extLst>
                          </a:blip>
                          <a:srcRect l="41012" t="28021" r="24422" b="17891"/>
                          <a:stretch>
                            <a:fillRect/>
                          </a:stretch>
                        </pic:blipFill>
                        <pic:spPr>
                          <a:xfrm rot="5400000">
                            <a:off x="0" y="0"/>
                            <a:ext cx="1633220" cy="1917700"/>
                          </a:xfrm>
                          <a:prstGeom prst="rect">
                            <a:avLst/>
                          </a:prstGeom>
                          <a:noFill/>
                          <a:ln>
                            <a:noFill/>
                          </a:ln>
                        </pic:spPr>
                      </pic:pic>
                    </a:graphicData>
                  </a:graphic>
                </wp:inline>
              </w:drawing>
            </w:r>
          </w:p>
        </w:tc>
      </w:tr>
      <w:tr w14:paraId="260E6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06" w:type="dxa"/>
            <w:tcBorders>
              <w:top w:val="nil"/>
              <w:left w:val="nil"/>
              <w:bottom w:val="nil"/>
              <w:right w:val="nil"/>
            </w:tcBorders>
            <w:vAlign w:val="top"/>
          </w:tcPr>
          <w:p w14:paraId="1BA99770">
            <w:pPr>
              <w:pStyle w:val="16"/>
              <w:ind w:firstLine="0" w:firstLineChars="0"/>
              <w:jc w:val="center"/>
              <w:rPr>
                <w:rFonts w:cs="Times New Roman"/>
                <w:b/>
                <w:bCs/>
              </w:rPr>
            </w:pPr>
            <w:r>
              <w:rPr>
                <w:rFonts w:hint="eastAsia" w:cs="Times New Roman"/>
                <w:lang w:val="en-US" w:eastAsia="zh-CN"/>
              </w:rPr>
              <w:t xml:space="preserve">交流电压电流采样 </w:t>
            </w:r>
          </w:p>
        </w:tc>
        <w:tc>
          <w:tcPr>
            <w:tcW w:w="3972" w:type="dxa"/>
            <w:tcBorders>
              <w:top w:val="nil"/>
              <w:left w:val="nil"/>
              <w:bottom w:val="nil"/>
              <w:right w:val="nil"/>
            </w:tcBorders>
            <w:vAlign w:val="top"/>
          </w:tcPr>
          <w:p w14:paraId="593A92CB">
            <w:pPr>
              <w:pStyle w:val="16"/>
              <w:ind w:firstLine="0" w:firstLineChars="0"/>
              <w:jc w:val="center"/>
            </w:pPr>
            <w:r>
              <w:rPr>
                <w:rFonts w:hint="eastAsia" w:cs="Times New Roman"/>
                <w:lang w:val="en-US" w:eastAsia="zh-CN"/>
              </w:rPr>
              <w:t>直流电压电流采样</w:t>
            </w:r>
          </w:p>
        </w:tc>
      </w:tr>
      <w:tr w14:paraId="109C6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78" w:type="dxa"/>
            <w:gridSpan w:val="2"/>
            <w:tcBorders>
              <w:top w:val="nil"/>
              <w:left w:val="nil"/>
              <w:bottom w:val="nil"/>
              <w:right w:val="nil"/>
            </w:tcBorders>
            <w:vAlign w:val="top"/>
          </w:tcPr>
          <w:p w14:paraId="572F4B10">
            <w:pPr>
              <w:pStyle w:val="16"/>
              <w:ind w:firstLine="0" w:firstLineChars="0"/>
              <w:jc w:val="center"/>
              <w:rPr>
                <w:rFonts w:hint="eastAsia" w:cs="Times New Roman"/>
                <w:lang w:val="en-US" w:eastAsia="zh-CN"/>
              </w:rPr>
            </w:pPr>
            <w:r>
              <w:rPr>
                <w:rFonts w:hint="eastAsia" w:cs="Times New Roman"/>
                <w:lang w:val="en-US" w:eastAsia="zh-CN"/>
              </w:rPr>
              <w:drawing>
                <wp:inline distT="0" distB="0" distL="114300" distR="114300">
                  <wp:extent cx="2293620" cy="2150745"/>
                  <wp:effectExtent l="0" t="0" r="5080" b="8255"/>
                  <wp:docPr id="52" name="图片 52" descr="d2af0ca31b048ded0563e44d5a957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d2af0ca31b048ded0563e44d5a957278"/>
                          <pic:cNvPicPr>
                            <a:picLocks noChangeAspect="1"/>
                          </pic:cNvPicPr>
                        </pic:nvPicPr>
                        <pic:blipFill>
                          <a:blip r:embed="rId52"/>
                          <a:srcRect t="29672"/>
                          <a:stretch>
                            <a:fillRect/>
                          </a:stretch>
                        </pic:blipFill>
                        <pic:spPr>
                          <a:xfrm>
                            <a:off x="0" y="0"/>
                            <a:ext cx="2293620" cy="2150745"/>
                          </a:xfrm>
                          <a:prstGeom prst="rect">
                            <a:avLst/>
                          </a:prstGeom>
                        </pic:spPr>
                      </pic:pic>
                    </a:graphicData>
                  </a:graphic>
                </wp:inline>
              </w:drawing>
            </w:r>
          </w:p>
        </w:tc>
      </w:tr>
      <w:tr w14:paraId="17212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78" w:type="dxa"/>
            <w:gridSpan w:val="2"/>
            <w:tcBorders>
              <w:top w:val="nil"/>
              <w:left w:val="nil"/>
              <w:bottom w:val="nil"/>
              <w:right w:val="nil"/>
            </w:tcBorders>
            <w:vAlign w:val="top"/>
          </w:tcPr>
          <w:p w14:paraId="5CA49B5F">
            <w:pPr>
              <w:pStyle w:val="16"/>
              <w:ind w:firstLine="0" w:firstLineChars="0"/>
              <w:jc w:val="center"/>
              <w:rPr>
                <w:rFonts w:hint="default" w:cs="Times New Roman"/>
                <w:lang w:val="en-US" w:eastAsia="zh-CN"/>
              </w:rPr>
            </w:pPr>
            <w:r>
              <w:rPr>
                <w:rFonts w:hint="eastAsia" w:cs="Times New Roman"/>
                <w:lang w:val="en-US" w:eastAsia="zh-CN"/>
              </w:rPr>
              <w:t>拓展板</w:t>
            </w:r>
          </w:p>
        </w:tc>
      </w:tr>
    </w:tbl>
    <w:p w14:paraId="057EE7E9">
      <w:pPr>
        <w:pStyle w:val="4"/>
        <w:bidi w:val="0"/>
        <w:rPr>
          <w:rFonts w:hint="eastAsia"/>
        </w:rPr>
      </w:pPr>
      <w:r>
        <w:rPr>
          <w:rFonts w:hint="eastAsia"/>
        </w:rPr>
        <w:t>3.2.</w:t>
      </w:r>
      <w:r>
        <w:rPr>
          <w:rFonts w:hint="eastAsia"/>
          <w:lang w:val="en-US" w:eastAsia="zh-CN"/>
        </w:rPr>
        <w:t>2</w:t>
      </w:r>
      <w:r>
        <w:rPr>
          <w:rFonts w:hint="eastAsia"/>
        </w:rPr>
        <w:t xml:space="preserve"> 软件成果；</w:t>
      </w:r>
    </w:p>
    <w:p w14:paraId="23BD925A">
      <w:pPr>
        <w:numPr>
          <w:ilvl w:val="0"/>
          <w:numId w:val="8"/>
        </w:numPr>
        <w:ind w:left="425" w:leftChars="0" w:hanging="425" w:firstLineChars="0"/>
        <w:rPr>
          <w:rFonts w:hint="default" w:eastAsia="宋体" w:cs="Times New Roman"/>
          <w:b w:val="0"/>
          <w:bCs/>
          <w:lang w:val="en-US" w:eastAsia="zh-CN"/>
        </w:rPr>
      </w:pPr>
      <w:r>
        <w:rPr>
          <w:rFonts w:hint="eastAsia" w:cs="Times New Roman"/>
          <w:b w:val="0"/>
          <w:bCs/>
          <w:lang w:val="en-US" w:eastAsia="zh-CN"/>
        </w:rPr>
        <w:t>功率分配PDSVM的AC侧输出波形（基于占空比进行独立合成）</w:t>
      </w:r>
    </w:p>
    <w:p w14:paraId="4EF333D3">
      <w:pPr>
        <w:widowControl w:val="0"/>
        <w:numPr>
          <w:ilvl w:val="0"/>
          <w:numId w:val="0"/>
        </w:numPr>
        <w:spacing w:line="360" w:lineRule="auto"/>
        <w:jc w:val="center"/>
        <w:rPr>
          <w:rFonts w:hint="default" w:eastAsia="宋体" w:cs="Times New Roman"/>
          <w:b w:val="0"/>
          <w:bCs/>
          <w:lang w:val="en-US" w:eastAsia="zh-CN"/>
        </w:rPr>
      </w:pPr>
      <w:r>
        <w:rPr>
          <w:rFonts w:hint="default" w:eastAsia="宋体" w:cs="Times New Roman"/>
          <w:b w:val="0"/>
          <w:bCs/>
          <w:lang w:val="en-US" w:eastAsia="zh-CN"/>
        </w:rPr>
        <w:drawing>
          <wp:inline distT="0" distB="0" distL="114300" distR="114300">
            <wp:extent cx="5251450" cy="1622425"/>
            <wp:effectExtent l="0" t="0" r="6350" b="3175"/>
            <wp:docPr id="7" name="图片 7" descr="b6cb0f93227c9843d9bfb19f2319e2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6cb0f93227c9843d9bfb19f2319e23e"/>
                    <pic:cNvPicPr>
                      <a:picLocks noChangeAspect="1"/>
                    </pic:cNvPicPr>
                  </pic:nvPicPr>
                  <pic:blipFill>
                    <a:blip r:embed="rId53"/>
                    <a:stretch>
                      <a:fillRect/>
                    </a:stretch>
                  </pic:blipFill>
                  <pic:spPr>
                    <a:xfrm>
                      <a:off x="0" y="0"/>
                      <a:ext cx="5251450" cy="1622425"/>
                    </a:xfrm>
                    <a:prstGeom prst="rect">
                      <a:avLst/>
                    </a:prstGeom>
                  </pic:spPr>
                </pic:pic>
              </a:graphicData>
            </a:graphic>
          </wp:inline>
        </w:drawing>
      </w:r>
    </w:p>
    <w:p w14:paraId="0C44CF3E">
      <w:pPr>
        <w:ind w:left="0" w:leftChars="0" w:firstLine="0" w:firstLineChars="0"/>
        <w:jc w:val="center"/>
        <w:rPr>
          <w:rFonts w:hint="eastAsia" w:eastAsia="宋体" w:cs="Times New Roman"/>
          <w:b/>
          <w:lang w:eastAsia="zh-CN"/>
        </w:rPr>
      </w:pPr>
      <w:r>
        <w:rPr>
          <w:rFonts w:hint="eastAsia" w:eastAsia="宋体" w:cs="Times New Roman"/>
          <w:b/>
          <w:lang w:eastAsia="zh-CN"/>
        </w:rPr>
        <w:drawing>
          <wp:inline distT="0" distB="0" distL="114300" distR="114300">
            <wp:extent cx="4781550" cy="2378075"/>
            <wp:effectExtent l="0" t="0" r="6350" b="9525"/>
            <wp:docPr id="4" name="图片 4" descr="b6b4a36d4e365eee2c7b702682043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6b4a36d4e365eee2c7b702682043403"/>
                    <pic:cNvPicPr>
                      <a:picLocks noChangeAspect="1"/>
                    </pic:cNvPicPr>
                  </pic:nvPicPr>
                  <pic:blipFill>
                    <a:blip r:embed="rId54"/>
                    <a:stretch>
                      <a:fillRect/>
                    </a:stretch>
                  </pic:blipFill>
                  <pic:spPr>
                    <a:xfrm>
                      <a:off x="0" y="0"/>
                      <a:ext cx="4781550" cy="2378075"/>
                    </a:xfrm>
                    <a:prstGeom prst="rect">
                      <a:avLst/>
                    </a:prstGeom>
                  </pic:spPr>
                </pic:pic>
              </a:graphicData>
            </a:graphic>
          </wp:inline>
        </w:drawing>
      </w:r>
    </w:p>
    <w:p w14:paraId="0DD8A86E">
      <w:pPr>
        <w:numPr>
          <w:ilvl w:val="0"/>
          <w:numId w:val="8"/>
        </w:numPr>
        <w:ind w:left="425" w:leftChars="0" w:hanging="425" w:firstLineChars="0"/>
        <w:rPr>
          <w:rFonts w:hint="eastAsia" w:eastAsia="宋体" w:cs="Times New Roman"/>
          <w:b w:val="0"/>
          <w:bCs/>
          <w:lang w:eastAsia="zh-CN"/>
        </w:rPr>
      </w:pPr>
      <w:r>
        <w:rPr>
          <w:rFonts w:hint="eastAsia" w:cs="Times New Roman"/>
          <w:b w:val="0"/>
          <w:bCs/>
          <w:lang w:val="en-US" w:eastAsia="zh-CN"/>
        </w:rPr>
        <w:t>功率分配功能实现：</w:t>
      </w:r>
    </w:p>
    <w:p w14:paraId="4E0E4823">
      <w:pPr>
        <w:numPr>
          <w:ilvl w:val="0"/>
          <w:numId w:val="0"/>
        </w:numPr>
        <w:ind w:leftChars="0" w:firstLine="420" w:firstLineChars="0"/>
        <w:rPr>
          <w:rFonts w:hint="default" w:cs="Times New Roman"/>
          <w:b w:val="0"/>
          <w:bCs/>
          <w:lang w:val="en-US" w:eastAsia="zh-CN"/>
        </w:rPr>
      </w:pPr>
      <w:r>
        <w:rPr>
          <w:rFonts w:hint="eastAsia" w:cs="Times New Roman"/>
          <w:b w:val="0"/>
          <w:bCs/>
          <w:lang w:val="en-US" w:eastAsia="zh-CN"/>
        </w:rPr>
        <w:t>为便于测试与观测，算法的验证在simulink中进行。</w:t>
      </w:r>
    </w:p>
    <w:p w14:paraId="2FA8C0E7">
      <w:pPr>
        <w:numPr>
          <w:ilvl w:val="0"/>
          <w:numId w:val="0"/>
        </w:numPr>
        <w:ind w:leftChars="0" w:firstLine="420" w:firstLineChars="0"/>
        <w:rPr>
          <w:rFonts w:hint="default" w:eastAsia="宋体" w:cs="Times New Roman"/>
          <w:b w:val="0"/>
          <w:bCs/>
          <w:lang w:val="en-US" w:eastAsia="zh-CN"/>
        </w:rPr>
      </w:pPr>
      <w:r>
        <w:rPr>
          <w:rFonts w:hint="eastAsia" w:cs="Times New Roman"/>
          <w:b w:val="0"/>
          <w:bCs/>
          <w:lang w:val="en-US" w:eastAsia="zh-CN"/>
        </w:rPr>
        <w:t>在电压比r=0.5条件下，功率分配系数设定为0.5时，低压端口输出功率为0，此时高压端口承担全部负载输出功率。</w:t>
      </w:r>
    </w:p>
    <w:p w14:paraId="0F0D3201">
      <w:pPr>
        <w:widowControl w:val="0"/>
        <w:numPr>
          <w:ilvl w:val="0"/>
          <w:numId w:val="0"/>
        </w:numPr>
        <w:spacing w:line="360" w:lineRule="auto"/>
        <w:jc w:val="center"/>
      </w:pPr>
      <w:r>
        <w:drawing>
          <wp:inline distT="0" distB="0" distL="114300" distR="114300">
            <wp:extent cx="4709160" cy="2922270"/>
            <wp:effectExtent l="0" t="0" r="15240" b="24130"/>
            <wp:docPr id="3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6"/>
                    <pic:cNvPicPr>
                      <a:picLocks noChangeAspect="1"/>
                    </pic:cNvPicPr>
                  </pic:nvPicPr>
                  <pic:blipFill>
                    <a:blip r:embed="rId55"/>
                    <a:stretch>
                      <a:fillRect/>
                    </a:stretch>
                  </pic:blipFill>
                  <pic:spPr>
                    <a:xfrm>
                      <a:off x="0" y="0"/>
                      <a:ext cx="4709160" cy="2922270"/>
                    </a:xfrm>
                    <a:prstGeom prst="rect">
                      <a:avLst/>
                    </a:prstGeom>
                    <a:noFill/>
                    <a:ln>
                      <a:noFill/>
                    </a:ln>
                  </pic:spPr>
                </pic:pic>
              </a:graphicData>
            </a:graphic>
          </wp:inline>
        </w:drawing>
      </w:r>
    </w:p>
    <w:p w14:paraId="50BE8080">
      <w:pPr>
        <w:widowControl w:val="0"/>
        <w:numPr>
          <w:ilvl w:val="0"/>
          <w:numId w:val="0"/>
        </w:numPr>
        <w:spacing w:line="360" w:lineRule="auto"/>
        <w:ind w:firstLine="420" w:firstLineChars="0"/>
        <w:jc w:val="both"/>
        <w:rPr>
          <w:rFonts w:hint="eastAsia"/>
          <w:lang w:val="en-US" w:eastAsia="zh-CN"/>
        </w:rPr>
      </w:pPr>
      <w:r>
        <w:rPr>
          <w:rFonts w:hint="eastAsia"/>
          <w:lang w:val="en-US" w:eastAsia="zh-CN"/>
        </w:rPr>
        <w:t>将功率分配系数设定为0.7，此时低压端口开始承担功率输出份额</w:t>
      </w:r>
    </w:p>
    <w:p w14:paraId="4A6321D6">
      <w:pPr>
        <w:widowControl w:val="0"/>
        <w:numPr>
          <w:ilvl w:val="0"/>
          <w:numId w:val="0"/>
        </w:numPr>
        <w:spacing w:line="360" w:lineRule="auto"/>
        <w:jc w:val="center"/>
      </w:pPr>
      <w:r>
        <w:drawing>
          <wp:inline distT="0" distB="0" distL="114300" distR="114300">
            <wp:extent cx="5272405" cy="1155065"/>
            <wp:effectExtent l="0" t="0" r="10795" b="635"/>
            <wp:docPr id="3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7"/>
                    <pic:cNvPicPr>
                      <a:picLocks noChangeAspect="1"/>
                    </pic:cNvPicPr>
                  </pic:nvPicPr>
                  <pic:blipFill>
                    <a:blip r:embed="rId56"/>
                    <a:stretch>
                      <a:fillRect/>
                    </a:stretch>
                  </pic:blipFill>
                  <pic:spPr>
                    <a:xfrm>
                      <a:off x="0" y="0"/>
                      <a:ext cx="5272405" cy="1155065"/>
                    </a:xfrm>
                    <a:prstGeom prst="rect">
                      <a:avLst/>
                    </a:prstGeom>
                    <a:noFill/>
                    <a:ln>
                      <a:noFill/>
                    </a:ln>
                  </pic:spPr>
                </pic:pic>
              </a:graphicData>
            </a:graphic>
          </wp:inline>
        </w:drawing>
      </w:r>
    </w:p>
    <w:p w14:paraId="38187273">
      <w:pPr>
        <w:numPr>
          <w:ilvl w:val="0"/>
          <w:numId w:val="8"/>
        </w:numPr>
        <w:ind w:left="425" w:leftChars="0" w:hanging="425" w:firstLineChars="0"/>
        <w:rPr>
          <w:rFonts w:hint="eastAsia" w:eastAsia="宋体" w:cs="Times New Roman"/>
          <w:b w:val="0"/>
          <w:bCs/>
          <w:lang w:eastAsia="zh-CN"/>
        </w:rPr>
      </w:pPr>
      <w:r>
        <w:rPr>
          <w:rFonts w:hint="eastAsia" w:cs="Times New Roman"/>
          <w:b w:val="0"/>
          <w:bCs/>
          <w:lang w:val="en-US" w:eastAsia="zh-CN"/>
        </w:rPr>
        <w:t>逻辑分析仪实测PWM波形与Simulink算法仿真对比：</w:t>
      </w:r>
    </w:p>
    <w:p w14:paraId="6E8ECE34">
      <w:pPr>
        <w:widowControl w:val="0"/>
        <w:numPr>
          <w:ilvl w:val="0"/>
          <w:numId w:val="0"/>
        </w:numPr>
        <w:spacing w:line="360" w:lineRule="auto"/>
        <w:jc w:val="both"/>
        <w:rPr>
          <w:rFonts w:hint="default" w:eastAsia="宋体" w:cs="Times New Roman"/>
          <w:b w:val="0"/>
          <w:bCs/>
          <w:lang w:val="en-US" w:eastAsia="zh-CN"/>
        </w:rPr>
      </w:pPr>
      <w:r>
        <w:rPr>
          <w:rFonts w:hint="eastAsia" w:cs="Times New Roman"/>
          <w:b w:val="0"/>
          <w:bCs/>
          <w:lang w:val="en-US" w:eastAsia="zh-CN"/>
        </w:rPr>
        <w:t>对A相桥臂进行分析，波形特征一致。</w:t>
      </w:r>
    </w:p>
    <w:p w14:paraId="00AC194E">
      <w:pPr>
        <w:widowControl w:val="0"/>
        <w:numPr>
          <w:ilvl w:val="0"/>
          <w:numId w:val="0"/>
        </w:numPr>
        <w:spacing w:line="360" w:lineRule="auto"/>
        <w:jc w:val="center"/>
        <w:rPr>
          <w:rFonts w:hint="eastAsia" w:eastAsia="宋体" w:cs="Times New Roman"/>
          <w:b w:val="0"/>
          <w:bCs/>
          <w:lang w:eastAsia="zh-CN"/>
        </w:rPr>
      </w:pPr>
      <w:r>
        <w:rPr>
          <w:rFonts w:hint="eastAsia" w:eastAsia="宋体" w:cs="Times New Roman"/>
          <w:b w:val="0"/>
          <w:bCs/>
          <w:lang w:eastAsia="zh-CN"/>
        </w:rPr>
        <w:drawing>
          <wp:inline distT="0" distB="0" distL="114300" distR="114300">
            <wp:extent cx="4015740" cy="2110105"/>
            <wp:effectExtent l="0" t="0" r="22860" b="23495"/>
            <wp:docPr id="8" name="图片 8" descr="8c6f46740694e2de14ca07c86a4d96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8c6f46740694e2de14ca07c86a4d96cf"/>
                    <pic:cNvPicPr>
                      <a:picLocks noChangeAspect="1"/>
                    </pic:cNvPicPr>
                  </pic:nvPicPr>
                  <pic:blipFill>
                    <a:blip r:embed="rId57"/>
                    <a:stretch>
                      <a:fillRect/>
                    </a:stretch>
                  </pic:blipFill>
                  <pic:spPr>
                    <a:xfrm>
                      <a:off x="0" y="0"/>
                      <a:ext cx="4015740" cy="2110105"/>
                    </a:xfrm>
                    <a:prstGeom prst="rect">
                      <a:avLst/>
                    </a:prstGeom>
                  </pic:spPr>
                </pic:pic>
              </a:graphicData>
            </a:graphic>
          </wp:inline>
        </w:drawing>
      </w:r>
    </w:p>
    <w:p w14:paraId="57C35B2B">
      <w:pPr>
        <w:widowControl w:val="0"/>
        <w:numPr>
          <w:ilvl w:val="0"/>
          <w:numId w:val="0"/>
        </w:numPr>
        <w:spacing w:line="360" w:lineRule="auto"/>
        <w:jc w:val="center"/>
        <w:rPr>
          <w:rFonts w:hint="eastAsia" w:eastAsia="宋体" w:cs="Times New Roman"/>
          <w:b w:val="0"/>
          <w:bCs/>
          <w:lang w:eastAsia="zh-CN"/>
        </w:rPr>
      </w:pPr>
      <w:r>
        <w:rPr>
          <w:rFonts w:hint="eastAsia" w:eastAsia="宋体" w:cs="Times New Roman"/>
          <w:b w:val="0"/>
          <w:bCs/>
          <w:lang w:eastAsia="zh-CN"/>
        </w:rPr>
        <w:drawing>
          <wp:inline distT="0" distB="0" distL="114300" distR="114300">
            <wp:extent cx="3766820" cy="2470785"/>
            <wp:effectExtent l="0" t="0" r="5080" b="5715"/>
            <wp:docPr id="9" name="图片 9" descr="a21231ea9b6980babb781d4d6f848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21231ea9b6980babb781d4d6f848882"/>
                    <pic:cNvPicPr>
                      <a:picLocks noChangeAspect="1"/>
                    </pic:cNvPicPr>
                  </pic:nvPicPr>
                  <pic:blipFill>
                    <a:blip r:embed="rId58"/>
                    <a:stretch>
                      <a:fillRect/>
                    </a:stretch>
                  </pic:blipFill>
                  <pic:spPr>
                    <a:xfrm>
                      <a:off x="0" y="0"/>
                      <a:ext cx="3766820" cy="2470785"/>
                    </a:xfrm>
                    <a:prstGeom prst="rect">
                      <a:avLst/>
                    </a:prstGeom>
                  </pic:spPr>
                </pic:pic>
              </a:graphicData>
            </a:graphic>
          </wp:inline>
        </w:drawing>
      </w:r>
    </w:p>
    <w:p w14:paraId="745E8E69">
      <w:pPr>
        <w:numPr>
          <w:ilvl w:val="0"/>
          <w:numId w:val="8"/>
        </w:numPr>
        <w:ind w:left="425" w:leftChars="0" w:hanging="425" w:firstLineChars="0"/>
        <w:rPr>
          <w:rFonts w:hint="eastAsia" w:eastAsia="宋体" w:cs="Times New Roman"/>
          <w:b w:val="0"/>
          <w:bCs/>
          <w:lang w:eastAsia="zh-CN"/>
        </w:rPr>
      </w:pPr>
      <w:r>
        <w:rPr>
          <w:rFonts w:hint="eastAsia" w:cs="Times New Roman"/>
          <w:b w:val="0"/>
          <w:bCs/>
          <w:lang w:val="en-US" w:eastAsia="zh-CN"/>
        </w:rPr>
        <w:t>OLED实时显示ADC采样后功率解算值</w:t>
      </w:r>
    </w:p>
    <w:p w14:paraId="32B7269F">
      <w:pPr>
        <w:numPr>
          <w:ilvl w:val="0"/>
          <w:numId w:val="8"/>
        </w:numPr>
        <w:ind w:left="425" w:leftChars="0" w:hanging="425" w:firstLineChars="0"/>
        <w:rPr>
          <w:rFonts w:hint="eastAsia" w:eastAsia="宋体" w:cs="Times New Roman"/>
          <w:b w:val="0"/>
          <w:bCs/>
          <w:lang w:eastAsia="zh-CN"/>
        </w:rPr>
      </w:pPr>
      <w:r>
        <w:rPr>
          <w:rFonts w:hint="eastAsia" w:cs="Times New Roman"/>
          <w:b w:val="0"/>
          <w:bCs/>
          <w:lang w:val="en-US" w:eastAsia="zh-CN"/>
        </w:rPr>
        <w:t>基于RT-Thread的NS800可复用开发</w:t>
      </w:r>
    </w:p>
    <w:p w14:paraId="59FAA314">
      <w:pPr>
        <w:widowControl w:val="0"/>
        <w:numPr>
          <w:ilvl w:val="0"/>
          <w:numId w:val="0"/>
        </w:numPr>
        <w:spacing w:line="360" w:lineRule="auto"/>
        <w:jc w:val="both"/>
        <w:rPr>
          <w:rFonts w:hint="default" w:eastAsia="宋体" w:cs="Times New Roman"/>
          <w:b w:val="0"/>
          <w:bCs/>
          <w:lang w:val="en-US" w:eastAsia="zh-CN"/>
        </w:rPr>
      </w:pPr>
      <w:r>
        <w:rPr>
          <w:rFonts w:hint="eastAsia" w:cs="Times New Roman"/>
          <w:b w:val="0"/>
          <w:bCs/>
          <w:lang w:val="en-US" w:eastAsia="zh-CN"/>
        </w:rPr>
        <w:t>开发并适配了NS800芯片的RT-Thread ADC外设，已提交PR并Merge入主线</w:t>
      </w:r>
    </w:p>
    <w:p w14:paraId="54EFE267">
      <w:pPr>
        <w:widowControl w:val="0"/>
        <w:numPr>
          <w:ilvl w:val="0"/>
          <w:numId w:val="0"/>
        </w:numPr>
        <w:spacing w:line="360" w:lineRule="auto"/>
        <w:jc w:val="both"/>
        <w:rPr>
          <w:rFonts w:hint="eastAsia" w:eastAsia="宋体" w:cs="Times New Roman"/>
          <w:b w:val="0"/>
          <w:bCs/>
          <w:lang w:eastAsia="zh-CN"/>
        </w:rPr>
      </w:pPr>
      <w:r>
        <w:drawing>
          <wp:inline distT="0" distB="0" distL="114300" distR="114300">
            <wp:extent cx="5273040" cy="851535"/>
            <wp:effectExtent l="0" t="0" r="10160" b="1206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59"/>
                    <a:stretch>
                      <a:fillRect/>
                    </a:stretch>
                  </pic:blipFill>
                  <pic:spPr>
                    <a:xfrm>
                      <a:off x="0" y="0"/>
                      <a:ext cx="5273040" cy="851535"/>
                    </a:xfrm>
                    <a:prstGeom prst="rect">
                      <a:avLst/>
                    </a:prstGeom>
                    <a:noFill/>
                    <a:ln>
                      <a:noFill/>
                    </a:ln>
                  </pic:spPr>
                </pic:pic>
              </a:graphicData>
            </a:graphic>
          </wp:inline>
        </w:drawing>
      </w:r>
    </w:p>
    <w:p w14:paraId="5C71D180">
      <w:pPr>
        <w:pStyle w:val="3"/>
        <w:numPr>
          <w:ilvl w:val="1"/>
          <w:numId w:val="7"/>
        </w:numPr>
        <w:bidi w:val="0"/>
      </w:pPr>
      <w:r>
        <w:rPr>
          <w:rFonts w:hint="eastAsia"/>
        </w:rPr>
        <w:t xml:space="preserve"> 特性成果</w:t>
      </w:r>
    </w:p>
    <w:p w14:paraId="081DA022">
      <w:pPr>
        <w:pStyle w:val="4"/>
        <w:bidi w:val="0"/>
        <w:rPr>
          <w:rFonts w:hint="eastAsia"/>
          <w:lang w:val="en-US" w:eastAsia="zh-CN"/>
        </w:rPr>
      </w:pPr>
      <w:r>
        <w:rPr>
          <w:rFonts w:hint="eastAsia"/>
          <w:lang w:val="en-US" w:eastAsia="zh-CN"/>
        </w:rPr>
        <w:t>软件部分：</w:t>
      </w:r>
    </w:p>
    <w:p w14:paraId="235E46D2">
      <w:pPr>
        <w:pStyle w:val="5"/>
        <w:numPr>
          <w:ilvl w:val="0"/>
          <w:numId w:val="1"/>
        </w:numPr>
        <w:bidi w:val="0"/>
        <w:ind w:left="-396" w:leftChars="0"/>
        <w:rPr>
          <w:rFonts w:hint="eastAsia"/>
          <w:lang w:val="en-US" w:eastAsia="zh-CN"/>
        </w:rPr>
      </w:pPr>
      <w:r>
        <w:rPr>
          <w:rFonts w:hint="eastAsia"/>
          <w:lang w:val="en-US" w:eastAsia="zh-CN"/>
        </w:rPr>
        <w:t>RT-Thread线程间通信</w:t>
      </w:r>
    </w:p>
    <w:p w14:paraId="7C8F8562">
      <w:pPr>
        <w:widowControl w:val="0"/>
        <w:numPr>
          <w:ilvl w:val="0"/>
          <w:numId w:val="0"/>
        </w:numPr>
        <w:spacing w:line="360" w:lineRule="auto"/>
        <w:ind w:firstLine="420" w:firstLineChars="0"/>
        <w:jc w:val="both"/>
        <w:rPr>
          <w:rFonts w:hint="eastAsia"/>
          <w:lang w:val="en-US" w:eastAsia="zh-CN"/>
        </w:rPr>
      </w:pPr>
      <w:r>
        <w:rPr>
          <w:rFonts w:hint="eastAsia"/>
          <w:lang w:val="en-US" w:eastAsia="zh-CN"/>
        </w:rPr>
        <w:t>以按键参数调节为例，应用层先构造一次虚拟按键动作，例如调节功率分配系数、目标转速或力矩电流。生产端将按键编号、动作类型和来源信息封装成消息，通过 RT-Thread 消息队列发送出去；同时释放信号量，通知消费侧“有新的按键动作需要处理”。随后事件集置位，表示本次按键处理窗口已经打开。</w:t>
      </w:r>
    </w:p>
    <w:p w14:paraId="26441504">
      <w:pPr>
        <w:widowControl w:val="0"/>
        <w:numPr>
          <w:ilvl w:val="0"/>
          <w:numId w:val="0"/>
        </w:numPr>
        <w:spacing w:line="360" w:lineRule="auto"/>
        <w:ind w:firstLine="420" w:firstLineChars="0"/>
        <w:jc w:val="both"/>
        <w:rPr>
          <w:rFonts w:hint="eastAsia"/>
          <w:lang w:val="en-US" w:eastAsia="zh-CN"/>
        </w:rPr>
      </w:pPr>
      <w:r>
        <w:rPr>
          <w:rFonts w:hint="eastAsia"/>
          <w:lang w:val="en-US" w:eastAsia="zh-CN"/>
        </w:rPr>
        <w:t>消费侧先通过 rt_event_recv() 捕获窗口事件，确认当前只处理本次触发的数据；再通过 rt_sem_take() 获取按键触发信号，最后用 rt_mq_recv() 读取具体按键动作。拿到动作后，应用层调用参数处理函数，完成 xi、转速、力矩电流或复位计数的更新。</w:t>
      </w:r>
    </w:p>
    <w:p w14:paraId="6B37E385">
      <w:pPr>
        <w:widowControl w:val="0"/>
        <w:numPr>
          <w:ilvl w:val="0"/>
          <w:numId w:val="0"/>
        </w:numPr>
        <w:spacing w:line="360" w:lineRule="auto"/>
        <w:ind w:firstLine="420" w:firstLineChars="0"/>
        <w:jc w:val="both"/>
        <w:rPr>
          <w:rFonts w:hint="eastAsia"/>
          <w:lang w:val="en-US" w:eastAsia="zh-CN"/>
        </w:rPr>
      </w:pPr>
      <w:r>
        <w:rPr>
          <w:rFonts w:hint="eastAsia"/>
          <w:lang w:val="en-US" w:eastAsia="zh-CN"/>
        </w:rPr>
        <w:t>这个流程体现了 RT-Thread IPC 组合使用的优势：事件集负责流程边界，信号量负责触发同步，消息队列负责传递结构化数据。三者职责清晰，使按键扫描、业务处理和参数更新天然解耦，也方便通过串口 trace 观察“输入产生、信号触发、消息消费、参数变化”的完整链路。</w:t>
      </w:r>
    </w:p>
    <w:p w14:paraId="1AAFC182">
      <w:pPr>
        <w:pStyle w:val="5"/>
        <w:numPr>
          <w:ilvl w:val="0"/>
          <w:numId w:val="1"/>
        </w:numPr>
        <w:bidi w:val="0"/>
        <w:ind w:left="-396" w:leftChars="0"/>
        <w:rPr>
          <w:rFonts w:hint="default"/>
          <w:lang w:val="en-US" w:eastAsia="zh-CN"/>
        </w:rPr>
      </w:pPr>
      <w:r>
        <w:rPr>
          <w:rFonts w:hint="eastAsia"/>
          <w:lang w:val="en-US" w:eastAsia="zh-CN"/>
        </w:rPr>
        <w:t>结合RTThread线程通信与同步锁的电机数据遥感测量能力</w:t>
      </w:r>
    </w:p>
    <w:p w14:paraId="5611522D">
      <w:pPr>
        <w:numPr>
          <w:ilvl w:val="0"/>
          <w:numId w:val="0"/>
        </w:numPr>
        <w:ind w:firstLine="420" w:firstLineChars="0"/>
        <w:jc w:val="both"/>
      </w:pPr>
      <w:r>
        <w:rPr>
          <w:rFonts w:hint="eastAsia"/>
        </w:rPr>
        <w:t>遥测链路展示 RT-Thread 对连续数据的处理能力。控制 ISR 产生运行帧后写入 ringbuffer，再通过事件集通知消费者。消费者收到事件后批量读取 ringbuffer，输出 ISR 计数、ADC 序号、故障位和控制参数。这样既避免 ISR 里直接打印阻塞实时控制，又能用窗口式串口输出观察关键运行路径。RT-Thread 的 IPC 和 ringbuffer 组合，让实时侧与展示侧自然解耦。</w:t>
      </w:r>
    </w:p>
    <w:p w14:paraId="3489591D">
      <w:pPr>
        <w:numPr>
          <w:ilvl w:val="0"/>
          <w:numId w:val="0"/>
        </w:numPr>
        <w:jc w:val="center"/>
      </w:pPr>
      <w:r>
        <w:drawing>
          <wp:inline distT="0" distB="0" distL="114300" distR="114300">
            <wp:extent cx="5417185" cy="3717290"/>
            <wp:effectExtent l="0" t="0" r="18415" b="1651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60"/>
                    <a:stretch>
                      <a:fillRect/>
                    </a:stretch>
                  </pic:blipFill>
                  <pic:spPr>
                    <a:xfrm>
                      <a:off x="0" y="0"/>
                      <a:ext cx="5417185" cy="3717290"/>
                    </a:xfrm>
                    <a:prstGeom prst="rect">
                      <a:avLst/>
                    </a:prstGeom>
                    <a:noFill/>
                    <a:ln>
                      <a:noFill/>
                    </a:ln>
                  </pic:spPr>
                </pic:pic>
              </a:graphicData>
            </a:graphic>
          </wp:inline>
        </w:drawing>
      </w:r>
    </w:p>
    <w:p w14:paraId="3B3E6B31">
      <w:pPr>
        <w:pStyle w:val="5"/>
        <w:numPr>
          <w:ilvl w:val="0"/>
          <w:numId w:val="1"/>
        </w:numPr>
        <w:bidi w:val="0"/>
        <w:ind w:left="-396" w:leftChars="0"/>
        <w:rPr>
          <w:rFonts w:hint="default"/>
          <w:lang w:val="en-US" w:eastAsia="zh-CN"/>
        </w:rPr>
      </w:pPr>
      <w:r>
        <w:rPr>
          <w:rFonts w:hint="eastAsia"/>
          <w:lang w:val="en-US" w:eastAsia="zh-CN"/>
        </w:rPr>
        <w:t>电机守护进程捕获到故障后即刻停机</w:t>
      </w:r>
    </w:p>
    <w:p w14:paraId="33CF4A00">
      <w:pPr>
        <w:widowControl w:val="0"/>
        <w:numPr>
          <w:ilvl w:val="0"/>
          <w:numId w:val="0"/>
        </w:numPr>
        <w:spacing w:line="360" w:lineRule="auto"/>
        <w:ind w:firstLine="420" w:firstLineChars="0"/>
        <w:jc w:val="both"/>
      </w:pPr>
      <w:r>
        <w:rPr>
          <w:rFonts w:hint="eastAsia"/>
        </w:rPr>
        <w:t>以电机故障处理为例，控制 ISR 检测到低压、采样异常等状态后，将故障信息封装为消息，通过 RT-Thread 消息队列传递给保护逻辑；同时用事件集通知“故障已发生”。保护逻辑通过 rt_event_recv() 捕获事件，再用 rt_mq_recv() 读取故障来源、标志位和采样序号，随后通过邮箱发送 STOP 动作。执行端用 rt_mb_recv() 获取停机命令，完成 PWM 输出关闭。这个链路体现了 RT-Thread 事件通知、消息传参、邮箱命令分发的清晰分层。</w:t>
      </w:r>
    </w:p>
    <w:p w14:paraId="66DF2FFB">
      <w:pPr>
        <w:widowControl w:val="0"/>
        <w:numPr>
          <w:ilvl w:val="0"/>
          <w:numId w:val="0"/>
        </w:numPr>
        <w:spacing w:line="360" w:lineRule="auto"/>
        <w:jc w:val="center"/>
      </w:pPr>
      <w:r>
        <w:drawing>
          <wp:inline distT="0" distB="0" distL="114300" distR="114300">
            <wp:extent cx="4399915" cy="4196080"/>
            <wp:effectExtent l="0" t="0" r="19685" b="2032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61"/>
                    <a:stretch>
                      <a:fillRect/>
                    </a:stretch>
                  </pic:blipFill>
                  <pic:spPr>
                    <a:xfrm>
                      <a:off x="0" y="0"/>
                      <a:ext cx="4399915" cy="4196080"/>
                    </a:xfrm>
                    <a:prstGeom prst="rect">
                      <a:avLst/>
                    </a:prstGeom>
                    <a:noFill/>
                    <a:ln>
                      <a:noFill/>
                    </a:ln>
                  </pic:spPr>
                </pic:pic>
              </a:graphicData>
            </a:graphic>
          </wp:inline>
        </w:drawing>
      </w:r>
    </w:p>
    <w:p w14:paraId="28321110">
      <w:pPr>
        <w:pStyle w:val="5"/>
        <w:numPr>
          <w:ilvl w:val="0"/>
          <w:numId w:val="1"/>
        </w:numPr>
        <w:bidi w:val="0"/>
        <w:ind w:left="-396" w:leftChars="0"/>
        <w:rPr>
          <w:rFonts w:hint="default"/>
          <w:lang w:val="en-US" w:eastAsia="zh-CN"/>
        </w:rPr>
      </w:pPr>
      <w:r>
        <w:rPr>
          <w:rFonts w:hint="eastAsia"/>
          <w:lang w:val="en-US" w:eastAsia="zh-CN"/>
        </w:rPr>
        <w:t>ADC采样与数据流传输</w:t>
      </w:r>
    </w:p>
    <w:p w14:paraId="29482E30">
      <w:pPr>
        <w:widowControl w:val="0"/>
        <w:numPr>
          <w:ilvl w:val="0"/>
          <w:numId w:val="0"/>
        </w:numPr>
        <w:spacing w:line="360" w:lineRule="auto"/>
        <w:ind w:firstLine="420" w:firstLineChars="0"/>
        <w:jc w:val="both"/>
        <w:rPr>
          <w:rFonts w:hint="default" w:cs="Times New Roman"/>
          <w:b w:val="0"/>
          <w:bCs/>
          <w:sz w:val="24"/>
          <w:szCs w:val="21"/>
          <w:lang w:val="en-US" w:eastAsia="zh-CN"/>
        </w:rPr>
      </w:pPr>
      <w:r>
        <w:rPr>
          <w:rFonts w:hint="default" w:cs="Times New Roman"/>
          <w:b w:val="0"/>
          <w:bCs/>
          <w:sz w:val="24"/>
          <w:szCs w:val="21"/>
          <w:lang w:val="en-US" w:eastAsia="zh-CN"/>
        </w:rPr>
        <w:t>以 ADC 数据同步为例，采样侧先生成一帧虚拟 DMA 数据，包含序号和多路原始 ADC 通道值。数据进入同步链路后，生产端通过 rt_mq_send() 将完整采样帧放入消息队列，并通过 rt_event_send() 置位 ADC_FRAME_READY，表示新数据已准备好。</w:t>
      </w:r>
    </w:p>
    <w:p w14:paraId="5C17AE09">
      <w:pPr>
        <w:widowControl w:val="0"/>
        <w:numPr>
          <w:ilvl w:val="0"/>
          <w:numId w:val="0"/>
        </w:numPr>
        <w:spacing w:line="360" w:lineRule="auto"/>
        <w:ind w:firstLine="420" w:firstLineChars="0"/>
        <w:jc w:val="both"/>
        <w:rPr>
          <w:rFonts w:hint="default" w:cs="Times New Roman"/>
          <w:b w:val="0"/>
          <w:bCs/>
          <w:sz w:val="24"/>
          <w:szCs w:val="21"/>
          <w:lang w:val="en-US" w:eastAsia="zh-CN"/>
        </w:rPr>
      </w:pPr>
      <w:r>
        <w:rPr>
          <w:rFonts w:hint="default" w:cs="Times New Roman"/>
          <w:b w:val="0"/>
          <w:bCs/>
          <w:sz w:val="24"/>
          <w:szCs w:val="21"/>
          <w:lang w:val="en-US" w:eastAsia="zh-CN"/>
        </w:rPr>
        <w:t>消费侧由电机输入处理逻辑接管，先调用 rt_event_recv() 捕获帧就绪事件，再通过 rt_mq_recv() 取出 ADC 帧。随后使用 rt_mutex_take() 进入受保护区域，将原始采样值转换为 A/B/C 三相电流；转换完成后 rt_mutex_release() 释放互斥锁，并通过事件通知同步完成。</w:t>
      </w:r>
    </w:p>
    <w:p w14:paraId="7FD07D8C">
      <w:pPr>
        <w:widowControl w:val="0"/>
        <w:numPr>
          <w:ilvl w:val="0"/>
          <w:numId w:val="0"/>
        </w:numPr>
        <w:spacing w:line="360" w:lineRule="auto"/>
        <w:ind w:firstLine="420" w:firstLineChars="0"/>
        <w:jc w:val="both"/>
        <w:rPr>
          <w:rFonts w:hint="default" w:cs="Times New Roman"/>
          <w:b w:val="0"/>
          <w:bCs/>
          <w:sz w:val="24"/>
          <w:szCs w:val="21"/>
          <w:lang w:val="en-US" w:eastAsia="zh-CN"/>
        </w:rPr>
      </w:pPr>
      <w:r>
        <w:rPr>
          <w:rFonts w:hint="default" w:cs="Times New Roman"/>
          <w:b w:val="0"/>
          <w:bCs/>
          <w:sz w:val="24"/>
          <w:szCs w:val="21"/>
          <w:lang w:val="en-US" w:eastAsia="zh-CN"/>
        </w:rPr>
        <w:t>这个流程体现了 RT-Thread 在数据同步场景中的优势：事件集负责“什么时候处理”，消息队列负责“处理什么数据”，互斥锁保证共享结果更新的一致性。三类内核机制分工明确，使采样生产、数据搬运和控制输入更新解耦，既贴近真实 ADC DMA 工作方式，又方便用串口 trace 清楚观察每一步数据流。</w:t>
      </w:r>
    </w:p>
    <w:p w14:paraId="1A78A5F7">
      <w:pPr>
        <w:widowControl w:val="0"/>
        <w:numPr>
          <w:ilvl w:val="0"/>
          <w:numId w:val="0"/>
        </w:numPr>
        <w:spacing w:line="360" w:lineRule="auto"/>
        <w:jc w:val="center"/>
      </w:pPr>
      <w:r>
        <w:drawing>
          <wp:inline distT="0" distB="0" distL="114300" distR="114300">
            <wp:extent cx="4886325" cy="3371850"/>
            <wp:effectExtent l="0" t="0" r="3175" b="635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62"/>
                    <a:stretch>
                      <a:fillRect/>
                    </a:stretch>
                  </pic:blipFill>
                  <pic:spPr>
                    <a:xfrm>
                      <a:off x="0" y="0"/>
                      <a:ext cx="4886325" cy="3371850"/>
                    </a:xfrm>
                    <a:prstGeom prst="rect">
                      <a:avLst/>
                    </a:prstGeom>
                    <a:noFill/>
                    <a:ln>
                      <a:noFill/>
                    </a:ln>
                  </pic:spPr>
                </pic:pic>
              </a:graphicData>
            </a:graphic>
          </wp:inline>
        </w:drawing>
      </w:r>
    </w:p>
    <w:p w14:paraId="081CD43F">
      <w:pPr>
        <w:pStyle w:val="4"/>
        <w:bidi w:val="0"/>
        <w:rPr>
          <w:rFonts w:hint="eastAsia"/>
          <w:lang w:val="en-US" w:eastAsia="zh-CN"/>
        </w:rPr>
      </w:pPr>
      <w:r>
        <w:rPr>
          <w:rFonts w:hint="eastAsia"/>
          <w:lang w:val="en-US" w:eastAsia="zh-CN"/>
        </w:rPr>
        <w:t>硬件部分：</w:t>
      </w:r>
    </w:p>
    <w:p w14:paraId="16605492">
      <w:pPr>
        <w:pStyle w:val="5"/>
        <w:numPr>
          <w:ilvl w:val="0"/>
          <w:numId w:val="9"/>
        </w:numPr>
        <w:bidi w:val="0"/>
        <w:ind w:left="-396" w:leftChars="0"/>
        <w:rPr>
          <w:rFonts w:hint="default"/>
          <w:lang w:val="en-US" w:eastAsia="zh-CN"/>
        </w:rPr>
      </w:pPr>
      <w:r>
        <w:rPr>
          <w:rFonts w:hint="eastAsia"/>
          <w:lang w:val="en-US" w:eastAsia="zh-CN"/>
        </w:rPr>
        <w:t>三电平逆变器拓扑</w:t>
      </w:r>
    </w:p>
    <w:p w14:paraId="0FA918E6">
      <w:pPr>
        <w:ind w:firstLine="562"/>
        <w:jc w:val="both"/>
        <w:rPr>
          <w:rFonts w:hint="default" w:eastAsia="宋体" w:cs="Times New Roman"/>
          <w:b w:val="0"/>
          <w:bCs/>
          <w:sz w:val="24"/>
          <w:szCs w:val="21"/>
          <w:lang w:val="en-US" w:eastAsia="zh-CN"/>
        </w:rPr>
      </w:pPr>
      <w:r>
        <w:rPr>
          <w:rFonts w:hint="eastAsia" w:cs="Times New Roman"/>
          <w:b w:val="0"/>
          <w:bCs/>
          <w:sz w:val="24"/>
          <w:szCs w:val="21"/>
          <w:lang w:val="en-US" w:eastAsia="zh-CN"/>
        </w:rPr>
        <w:t>示波器开关管波形实测--三电平逆变器结构下的开关管波形，清晰呈现出三电平拓扑的中间态电平。</w:t>
      </w:r>
    </w:p>
    <w:p w14:paraId="697861E1">
      <w:pPr>
        <w:ind w:firstLine="562"/>
        <w:jc w:val="center"/>
        <w:rPr>
          <w:rFonts w:hint="eastAsia" w:eastAsia="宋体" w:cs="Times New Roman"/>
          <w:b/>
          <w:sz w:val="28"/>
          <w:lang w:eastAsia="zh-CN"/>
        </w:rPr>
      </w:pPr>
      <w:r>
        <w:rPr>
          <w:rFonts w:hint="eastAsia" w:eastAsia="宋体" w:cs="Times New Roman"/>
          <w:b/>
          <w:sz w:val="28"/>
          <w:lang w:eastAsia="zh-CN"/>
        </w:rPr>
        <w:drawing>
          <wp:inline distT="0" distB="0" distL="114300" distR="114300">
            <wp:extent cx="3743325" cy="2807335"/>
            <wp:effectExtent l="0" t="0" r="15875" b="12065"/>
            <wp:docPr id="11" name="图片 11" descr="/Users/nino/Library/Containers/com.kingsoft.wpsoffice.mac/Data/tmp/photoeditapp/20260707173406/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Users/nino/Library/Containers/com.kingsoft.wpsoffice.mac/Data/tmp/photoeditapp/20260707173406/temp.pngtemp"/>
                    <pic:cNvPicPr>
                      <a:picLocks noChangeAspect="1"/>
                    </pic:cNvPicPr>
                  </pic:nvPicPr>
                  <pic:blipFill>
                    <a:blip r:embed="rId63"/>
                    <a:stretch>
                      <a:fillRect/>
                    </a:stretch>
                  </pic:blipFill>
                  <pic:spPr>
                    <a:xfrm>
                      <a:off x="0" y="0"/>
                      <a:ext cx="3743325" cy="2807335"/>
                    </a:xfrm>
                    <a:prstGeom prst="rect">
                      <a:avLst/>
                    </a:prstGeom>
                  </pic:spPr>
                </pic:pic>
              </a:graphicData>
            </a:graphic>
          </wp:inline>
        </w:drawing>
      </w:r>
    </w:p>
    <w:p w14:paraId="0ED6F005">
      <w:pPr>
        <w:pStyle w:val="5"/>
        <w:numPr>
          <w:ilvl w:val="0"/>
          <w:numId w:val="9"/>
        </w:numPr>
        <w:bidi w:val="0"/>
        <w:ind w:left="-396" w:leftChars="0"/>
        <w:rPr>
          <w:rFonts w:hint="default"/>
          <w:lang w:val="en-US" w:eastAsia="zh-CN"/>
        </w:rPr>
      </w:pPr>
      <w:r>
        <w:rPr>
          <w:rFonts w:hint="eastAsia"/>
          <w:lang w:val="en-US" w:eastAsia="zh-CN"/>
        </w:rPr>
        <w:t>ADC采样效果</w:t>
      </w:r>
    </w:p>
    <w:p w14:paraId="4F8241B9">
      <w:pPr>
        <w:widowControl w:val="0"/>
        <w:numPr>
          <w:ilvl w:val="0"/>
          <w:numId w:val="0"/>
        </w:numPr>
        <w:spacing w:line="360" w:lineRule="auto"/>
        <w:ind w:firstLine="420" w:firstLineChars="0"/>
        <w:jc w:val="both"/>
        <w:rPr>
          <w:rFonts w:hint="default" w:cs="Times New Roman"/>
          <w:b w:val="0"/>
          <w:bCs/>
          <w:sz w:val="24"/>
          <w:szCs w:val="21"/>
          <w:lang w:val="en-US" w:eastAsia="zh-CN"/>
        </w:rPr>
      </w:pPr>
      <w:r>
        <w:rPr>
          <w:rFonts w:hint="eastAsia" w:cs="Times New Roman"/>
          <w:b w:val="0"/>
          <w:bCs/>
          <w:sz w:val="24"/>
          <w:szCs w:val="21"/>
          <w:lang w:val="en-US" w:eastAsia="zh-CN"/>
        </w:rPr>
        <w:t>这里展示了ADC采样电路（电流采样）的换算能力，ADC理论测量范围上限为6.6A，此时250mV左右对应500mA输出电流，实测符合预期。</w:t>
      </w:r>
    </w:p>
    <w:p w14:paraId="7A971B27">
      <w:pPr>
        <w:pStyle w:val="6"/>
        <w:widowControl w:val="0"/>
        <w:numPr>
          <w:ilvl w:val="0"/>
          <w:numId w:val="0"/>
        </w:numPr>
        <w:spacing w:line="360" w:lineRule="auto"/>
        <w:jc w:val="center"/>
        <w:rPr>
          <w:rFonts w:hint="default" w:cs="Times New Roman"/>
          <w:b w:val="0"/>
          <w:bCs/>
          <w:sz w:val="24"/>
          <w:szCs w:val="21"/>
          <w:lang w:val="en-US" w:eastAsia="zh-CN"/>
        </w:rPr>
      </w:pPr>
      <w:r>
        <w:rPr>
          <w:rFonts w:hint="default" w:cs="Times New Roman"/>
          <w:b w:val="0"/>
          <w:bCs/>
          <w:sz w:val="24"/>
          <w:szCs w:val="21"/>
          <w:lang w:val="en-US" w:eastAsia="zh-CN"/>
        </w:rPr>
        <w:drawing>
          <wp:inline distT="0" distB="0" distL="114300" distR="114300">
            <wp:extent cx="4355465" cy="2411095"/>
            <wp:effectExtent l="0" t="0" r="13335" b="1905"/>
            <wp:docPr id="35" name="图片 35" descr="/Users/nino/Library/Containers/com.kingsoft.wpsoffice.mac/Data/tmp/photoeditapp/20260708202221/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Users/nino/Library/Containers/com.kingsoft.wpsoffice.mac/Data/tmp/photoeditapp/20260708202221/temp.pngtemp"/>
                    <pic:cNvPicPr>
                      <a:picLocks noChangeAspect="1"/>
                    </pic:cNvPicPr>
                  </pic:nvPicPr>
                  <pic:blipFill>
                    <a:blip r:embed="rId64"/>
                    <a:stretch>
                      <a:fillRect/>
                    </a:stretch>
                  </pic:blipFill>
                  <pic:spPr>
                    <a:xfrm>
                      <a:off x="0" y="0"/>
                      <a:ext cx="4355465" cy="2411095"/>
                    </a:xfrm>
                    <a:prstGeom prst="rect">
                      <a:avLst/>
                    </a:prstGeom>
                  </pic:spPr>
                </pic:pic>
              </a:graphicData>
            </a:graphic>
          </wp:inline>
        </w:drawing>
      </w:r>
    </w:p>
    <w:p w14:paraId="11D33132">
      <w:pPr>
        <w:widowControl w:val="0"/>
        <w:numPr>
          <w:ilvl w:val="0"/>
          <w:numId w:val="0"/>
        </w:numPr>
        <w:spacing w:line="360" w:lineRule="auto"/>
        <w:jc w:val="center"/>
      </w:pPr>
      <w:r>
        <w:drawing>
          <wp:inline distT="0" distB="0" distL="114300" distR="114300">
            <wp:extent cx="4456430" cy="2113280"/>
            <wp:effectExtent l="0" t="0" r="13970" b="20320"/>
            <wp:docPr id="36" name="图片 5" descr="/Users/nino/Library/Containers/com.kingsoft.wpsoffice.mac/Data/tmp/photoeditapp/20260708202539/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 descr="/Users/nino/Library/Containers/com.kingsoft.wpsoffice.mac/Data/tmp/photoeditapp/20260708202539/temp.pngtemp"/>
                    <pic:cNvPicPr>
                      <a:picLocks noChangeAspect="1"/>
                    </pic:cNvPicPr>
                  </pic:nvPicPr>
                  <pic:blipFill>
                    <a:blip r:embed="rId65"/>
                    <a:stretch>
                      <a:fillRect/>
                    </a:stretch>
                  </pic:blipFill>
                  <pic:spPr>
                    <a:xfrm>
                      <a:off x="0" y="0"/>
                      <a:ext cx="4456430" cy="2113280"/>
                    </a:xfrm>
                    <a:prstGeom prst="rect">
                      <a:avLst/>
                    </a:prstGeom>
                    <a:noFill/>
                    <a:ln>
                      <a:noFill/>
                    </a:ln>
                  </pic:spPr>
                </pic:pic>
              </a:graphicData>
            </a:graphic>
          </wp:inline>
        </w:drawing>
      </w:r>
    </w:p>
    <w:p w14:paraId="071FA5B2">
      <w:pPr>
        <w:widowControl w:val="0"/>
        <w:numPr>
          <w:ilvl w:val="0"/>
          <w:numId w:val="0"/>
        </w:numPr>
        <w:spacing w:line="360" w:lineRule="auto"/>
        <w:jc w:val="center"/>
        <w:rPr>
          <w:rFonts w:hint="default" w:eastAsia="宋体" w:cs="Times New Roman"/>
          <w:b/>
          <w:sz w:val="28"/>
          <w:lang w:val="en-US" w:eastAsia="zh-CN"/>
        </w:rPr>
      </w:pPr>
      <w:r>
        <w:rPr>
          <w:rFonts w:hint="default" w:eastAsia="宋体" w:cs="Times New Roman"/>
          <w:b/>
          <w:sz w:val="28"/>
          <w:lang w:val="en-US" w:eastAsia="zh-CN"/>
        </w:rPr>
        <w:drawing>
          <wp:inline distT="0" distB="0" distL="114300" distR="114300">
            <wp:extent cx="4467860" cy="2858770"/>
            <wp:effectExtent l="0" t="0" r="2540" b="11430"/>
            <wp:docPr id="28" name="图片 28" descr="IMG_6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IMG_6495"/>
                    <pic:cNvPicPr>
                      <a:picLocks noChangeAspect="1"/>
                    </pic:cNvPicPr>
                  </pic:nvPicPr>
                  <pic:blipFill>
                    <a:blip r:embed="rId66"/>
                    <a:stretch>
                      <a:fillRect/>
                    </a:stretch>
                  </pic:blipFill>
                  <pic:spPr>
                    <a:xfrm>
                      <a:off x="0" y="0"/>
                      <a:ext cx="4467860" cy="2858770"/>
                    </a:xfrm>
                    <a:prstGeom prst="rect">
                      <a:avLst/>
                    </a:prstGeom>
                  </pic:spPr>
                </pic:pic>
              </a:graphicData>
            </a:graphic>
          </wp:inline>
        </w:drawing>
      </w:r>
    </w:p>
    <w:p w14:paraId="58AB861E">
      <w:pPr>
        <w:pStyle w:val="5"/>
        <w:numPr>
          <w:ilvl w:val="0"/>
          <w:numId w:val="9"/>
        </w:numPr>
        <w:bidi w:val="0"/>
        <w:ind w:left="-396" w:leftChars="0"/>
        <w:rPr>
          <w:rFonts w:hint="default"/>
          <w:lang w:val="en-US" w:eastAsia="zh-CN"/>
        </w:rPr>
      </w:pPr>
      <w:r>
        <w:rPr>
          <w:rFonts w:hint="eastAsia"/>
          <w:lang w:val="en-US" w:eastAsia="zh-CN"/>
        </w:rPr>
        <w:t>带载能力与功率分配能力</w:t>
      </w:r>
    </w:p>
    <w:p w14:paraId="2F54A3B1">
      <w:pPr>
        <w:ind w:left="0" w:leftChars="0" w:firstLine="0" w:firstLineChars="0"/>
        <w:rPr>
          <w:rFonts w:hint="eastAsia"/>
          <w:b/>
          <w:bCs/>
          <w:sz w:val="28"/>
          <w:szCs w:val="24"/>
          <w:lang w:val="en-US" w:eastAsia="zh-CN"/>
        </w:rPr>
      </w:pPr>
      <w:r>
        <w:rPr>
          <w:rFonts w:hint="eastAsia"/>
          <w:b/>
          <w:bCs/>
          <w:sz w:val="28"/>
          <w:szCs w:val="24"/>
          <w:lang w:val="en-US" w:eastAsia="zh-CN"/>
        </w:rPr>
        <w:t>驱动三相电阻负载：</w:t>
      </w:r>
    </w:p>
    <w:p w14:paraId="01BE62BB">
      <w:pPr>
        <w:ind w:left="0" w:leftChars="0" w:firstLine="420" w:firstLineChars="0"/>
        <w:rPr>
          <w:rFonts w:hint="default"/>
          <w:lang w:val="en-US" w:eastAsia="zh-CN"/>
        </w:rPr>
      </w:pPr>
      <w:r>
        <w:rPr>
          <w:rFonts w:hint="eastAsia"/>
          <w:lang w:val="en-US" w:eastAsia="zh-CN"/>
        </w:rPr>
        <w:t>每个电阻的阻值为50欧姆，星形（Y型）连接。</w:t>
      </w:r>
    </w:p>
    <w:p w14:paraId="4E5A8465">
      <w:pPr>
        <w:ind w:left="0" w:leftChars="0" w:firstLine="0" w:firstLineChars="0"/>
        <w:jc w:val="center"/>
      </w:pPr>
      <w:r>
        <w:drawing>
          <wp:inline distT="0" distB="0" distL="114300" distR="114300">
            <wp:extent cx="3912235" cy="2190115"/>
            <wp:effectExtent l="0" t="0" r="12065" b="6985"/>
            <wp:docPr id="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8"/>
                    <pic:cNvPicPr>
                      <a:picLocks noChangeAspect="1"/>
                    </pic:cNvPicPr>
                  </pic:nvPicPr>
                  <pic:blipFill>
                    <a:blip r:embed="rId67"/>
                    <a:stretch>
                      <a:fillRect/>
                    </a:stretch>
                  </pic:blipFill>
                  <pic:spPr>
                    <a:xfrm>
                      <a:off x="0" y="0"/>
                      <a:ext cx="3912235" cy="2190115"/>
                    </a:xfrm>
                    <a:prstGeom prst="rect">
                      <a:avLst/>
                    </a:prstGeom>
                    <a:noFill/>
                    <a:ln>
                      <a:noFill/>
                    </a:ln>
                  </pic:spPr>
                </pic:pic>
              </a:graphicData>
            </a:graphic>
          </wp:inline>
        </w:drawing>
      </w:r>
    </w:p>
    <w:p w14:paraId="18126998">
      <w:pPr>
        <w:ind w:left="0" w:leftChars="0" w:firstLine="420" w:firstLineChars="0"/>
        <w:jc w:val="both"/>
        <w:rPr>
          <w:rFonts w:hint="eastAsia"/>
          <w:lang w:val="en-US" w:eastAsia="zh-CN"/>
        </w:rPr>
      </w:pPr>
      <w:r>
        <w:rPr>
          <w:rFonts w:hint="eastAsia"/>
          <w:lang w:val="en-US" w:eastAsia="zh-CN"/>
        </w:rPr>
        <w:t>示波器探头夹取负载中性点与三相电阻接入逆变器输出的节点</w:t>
      </w:r>
    </w:p>
    <w:p w14:paraId="44E73A92">
      <w:pPr>
        <w:ind w:left="0" w:leftChars="0" w:firstLine="0" w:firstLineChars="0"/>
        <w:jc w:val="center"/>
      </w:pPr>
      <w:r>
        <w:drawing>
          <wp:inline distT="0" distB="0" distL="114300" distR="114300">
            <wp:extent cx="3340735" cy="2106295"/>
            <wp:effectExtent l="0" t="0" r="12065" b="1905"/>
            <wp:docPr id="4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1"/>
                    <pic:cNvPicPr>
                      <a:picLocks noChangeAspect="1"/>
                    </pic:cNvPicPr>
                  </pic:nvPicPr>
                  <pic:blipFill>
                    <a:blip r:embed="rId68"/>
                    <a:stretch>
                      <a:fillRect/>
                    </a:stretch>
                  </pic:blipFill>
                  <pic:spPr>
                    <a:xfrm>
                      <a:off x="0" y="0"/>
                      <a:ext cx="3340735" cy="2106295"/>
                    </a:xfrm>
                    <a:prstGeom prst="rect">
                      <a:avLst/>
                    </a:prstGeom>
                    <a:noFill/>
                    <a:ln>
                      <a:noFill/>
                    </a:ln>
                  </pic:spPr>
                </pic:pic>
              </a:graphicData>
            </a:graphic>
          </wp:inline>
        </w:drawing>
      </w:r>
    </w:p>
    <w:p w14:paraId="26F8C0A7">
      <w:pPr>
        <w:ind w:left="0" w:leftChars="0" w:firstLine="420" w:firstLineChars="0"/>
        <w:jc w:val="both"/>
        <w:rPr>
          <w:rFonts w:hint="default"/>
          <w:lang w:val="en-US" w:eastAsia="zh-CN"/>
        </w:rPr>
      </w:pPr>
      <w:r>
        <w:rPr>
          <w:rFonts w:hint="eastAsia"/>
          <w:lang w:val="en-US" w:eastAsia="zh-CN"/>
        </w:rPr>
        <w:t>此时的波形呈现出清晰的三电平三相逆变输出特征（无电感滤波）。</w:t>
      </w:r>
    </w:p>
    <w:p w14:paraId="72661B88">
      <w:pPr>
        <w:ind w:left="0" w:leftChars="0" w:firstLine="420" w:firstLineChars="0"/>
        <w:jc w:val="both"/>
        <w:rPr>
          <w:rFonts w:hint="default"/>
          <w:lang w:val="en-US" w:eastAsia="zh-CN"/>
        </w:rPr>
      </w:pPr>
      <w:r>
        <w:rPr>
          <w:rFonts w:hint="eastAsia"/>
          <w:lang w:val="en-US" w:eastAsia="zh-CN"/>
        </w:rPr>
        <w:t>在xi=0.73时，双DC端口的功率输出如图所示</w:t>
      </w:r>
    </w:p>
    <w:p w14:paraId="1514D884">
      <w:pPr>
        <w:ind w:left="0" w:leftChars="0" w:firstLine="420" w:firstLineChars="0"/>
        <w:jc w:val="both"/>
        <w:rPr>
          <w:rFonts w:hint="default"/>
          <w:lang w:val="en-US" w:eastAsia="zh-CN"/>
        </w:rPr>
      </w:pPr>
      <w:r>
        <w:rPr>
          <w:rFonts w:hint="default"/>
          <w:lang w:val="en-US" w:eastAsia="zh-CN"/>
        </w:rPr>
        <w:drawing>
          <wp:inline distT="0" distB="0" distL="114300" distR="114300">
            <wp:extent cx="2116455" cy="1568450"/>
            <wp:effectExtent l="0" t="0" r="17145" b="6350"/>
            <wp:docPr id="45" name="图片 45" descr="IMG_6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IMG_6526"/>
                    <pic:cNvPicPr>
                      <a:picLocks noChangeAspect="1"/>
                    </pic:cNvPicPr>
                  </pic:nvPicPr>
                  <pic:blipFill>
                    <a:blip r:embed="rId69"/>
                    <a:stretch>
                      <a:fillRect/>
                    </a:stretch>
                  </pic:blipFill>
                  <pic:spPr>
                    <a:xfrm>
                      <a:off x="0" y="0"/>
                      <a:ext cx="2116455" cy="1568450"/>
                    </a:xfrm>
                    <a:prstGeom prst="rect">
                      <a:avLst/>
                    </a:prstGeom>
                  </pic:spPr>
                </pic:pic>
              </a:graphicData>
            </a:graphic>
          </wp:inline>
        </w:drawing>
      </w:r>
      <w:r>
        <w:rPr>
          <w:rFonts w:hint="default"/>
          <w:lang w:val="en-US" w:eastAsia="zh-CN"/>
        </w:rPr>
        <w:drawing>
          <wp:inline distT="0" distB="0" distL="114300" distR="114300">
            <wp:extent cx="2767330" cy="1543685"/>
            <wp:effectExtent l="0" t="0" r="1270" b="5715"/>
            <wp:docPr id="46" name="图片 46" descr="IMG_6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IMG_6527"/>
                    <pic:cNvPicPr>
                      <a:picLocks noChangeAspect="1"/>
                    </pic:cNvPicPr>
                  </pic:nvPicPr>
                  <pic:blipFill>
                    <a:blip r:embed="rId70"/>
                    <a:stretch>
                      <a:fillRect/>
                    </a:stretch>
                  </pic:blipFill>
                  <pic:spPr>
                    <a:xfrm>
                      <a:off x="0" y="0"/>
                      <a:ext cx="2767330" cy="1543685"/>
                    </a:xfrm>
                    <a:prstGeom prst="rect">
                      <a:avLst/>
                    </a:prstGeom>
                  </pic:spPr>
                </pic:pic>
              </a:graphicData>
            </a:graphic>
          </wp:inline>
        </w:drawing>
      </w:r>
    </w:p>
    <w:p w14:paraId="1EEA2394">
      <w:pPr>
        <w:ind w:left="0" w:leftChars="0" w:firstLine="420" w:firstLineChars="0"/>
        <w:rPr>
          <w:rFonts w:hint="default"/>
          <w:lang w:val="en-US" w:eastAsia="zh-CN"/>
        </w:rPr>
      </w:pPr>
      <w:r>
        <w:rPr>
          <w:rFonts w:hint="eastAsia"/>
          <w:lang w:val="en-US" w:eastAsia="zh-CN"/>
        </w:rPr>
        <w:t>在xi=0.84时，双DC端口的功率输出如图所示:</w:t>
      </w:r>
    </w:p>
    <w:p w14:paraId="53EC0F38">
      <w:pPr>
        <w:ind w:left="0" w:leftChars="0" w:firstLine="420" w:firstLineChars="0"/>
        <w:rPr>
          <w:rFonts w:hint="default"/>
          <w:lang w:val="en-US" w:eastAsia="zh-CN"/>
        </w:rPr>
      </w:pPr>
      <w:r>
        <w:rPr>
          <w:rFonts w:hint="default"/>
          <w:lang w:val="en-US" w:eastAsia="zh-CN"/>
        </w:rPr>
        <w:drawing>
          <wp:inline distT="0" distB="0" distL="114300" distR="114300">
            <wp:extent cx="1892935" cy="1619885"/>
            <wp:effectExtent l="0" t="0" r="12065" b="5715"/>
            <wp:docPr id="47" name="图片 47" descr="IMG_6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IMG_6529"/>
                    <pic:cNvPicPr>
                      <a:picLocks noChangeAspect="1"/>
                    </pic:cNvPicPr>
                  </pic:nvPicPr>
                  <pic:blipFill>
                    <a:blip r:embed="rId71"/>
                    <a:stretch>
                      <a:fillRect/>
                    </a:stretch>
                  </pic:blipFill>
                  <pic:spPr>
                    <a:xfrm>
                      <a:off x="0" y="0"/>
                      <a:ext cx="1892935" cy="1619885"/>
                    </a:xfrm>
                    <a:prstGeom prst="rect">
                      <a:avLst/>
                    </a:prstGeom>
                  </pic:spPr>
                </pic:pic>
              </a:graphicData>
            </a:graphic>
          </wp:inline>
        </w:drawing>
      </w:r>
      <w:r>
        <w:rPr>
          <w:rFonts w:hint="default"/>
          <w:lang w:val="en-US" w:eastAsia="zh-CN"/>
        </w:rPr>
        <w:drawing>
          <wp:inline distT="0" distB="0" distL="114300" distR="114300">
            <wp:extent cx="2968625" cy="1630680"/>
            <wp:effectExtent l="0" t="0" r="3175" b="20320"/>
            <wp:docPr id="48" name="图片 48" descr="IMG_6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IMG_6528"/>
                    <pic:cNvPicPr>
                      <a:picLocks noChangeAspect="1"/>
                    </pic:cNvPicPr>
                  </pic:nvPicPr>
                  <pic:blipFill>
                    <a:blip r:embed="rId72"/>
                    <a:stretch>
                      <a:fillRect/>
                    </a:stretch>
                  </pic:blipFill>
                  <pic:spPr>
                    <a:xfrm>
                      <a:off x="0" y="0"/>
                      <a:ext cx="2968625" cy="1630680"/>
                    </a:xfrm>
                    <a:prstGeom prst="rect">
                      <a:avLst/>
                    </a:prstGeom>
                  </pic:spPr>
                </pic:pic>
              </a:graphicData>
            </a:graphic>
          </wp:inline>
        </w:drawing>
      </w:r>
    </w:p>
    <w:p w14:paraId="1257FC1C">
      <w:pPr>
        <w:ind w:left="0" w:leftChars="0" w:firstLine="420" w:firstLineChars="0"/>
        <w:rPr>
          <w:rFonts w:hint="default"/>
          <w:lang w:val="en-US" w:eastAsia="zh-CN"/>
        </w:rPr>
      </w:pPr>
      <w:r>
        <w:rPr>
          <w:rFonts w:hint="eastAsia"/>
          <w:lang w:val="en-US" w:eastAsia="zh-CN"/>
        </w:rPr>
        <w:t>呈现出了精确的功率分配能力。</w:t>
      </w:r>
    </w:p>
    <w:p w14:paraId="7FFB42C3">
      <w:pPr>
        <w:ind w:left="0" w:leftChars="0" w:firstLine="0" w:firstLineChars="0"/>
        <w:rPr>
          <w:rFonts w:hint="eastAsia"/>
          <w:b/>
          <w:bCs/>
          <w:sz w:val="28"/>
          <w:szCs w:val="24"/>
          <w:lang w:val="en-US" w:eastAsia="zh-CN"/>
        </w:rPr>
      </w:pPr>
      <w:r>
        <w:rPr>
          <w:rFonts w:hint="eastAsia"/>
          <w:b/>
          <w:bCs/>
          <w:sz w:val="28"/>
          <w:szCs w:val="24"/>
          <w:lang w:val="en-US" w:eastAsia="zh-CN"/>
        </w:rPr>
        <w:t>驱动三相无刷电机负载：</w:t>
      </w:r>
    </w:p>
    <w:p w14:paraId="16A797C9">
      <w:pPr>
        <w:ind w:left="0" w:leftChars="0" w:firstLine="0" w:firstLineChars="0"/>
        <w:jc w:val="center"/>
      </w:pPr>
      <w:r>
        <w:drawing>
          <wp:inline distT="0" distB="0" distL="114300" distR="114300">
            <wp:extent cx="4707255" cy="2515235"/>
            <wp:effectExtent l="0" t="0" r="4445" b="12065"/>
            <wp:docPr id="4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7"/>
                    <pic:cNvPicPr>
                      <a:picLocks noChangeAspect="1"/>
                    </pic:cNvPicPr>
                  </pic:nvPicPr>
                  <pic:blipFill>
                    <a:blip r:embed="rId73"/>
                    <a:stretch>
                      <a:fillRect/>
                    </a:stretch>
                  </pic:blipFill>
                  <pic:spPr>
                    <a:xfrm>
                      <a:off x="0" y="0"/>
                      <a:ext cx="4707255" cy="2515235"/>
                    </a:xfrm>
                    <a:prstGeom prst="rect">
                      <a:avLst/>
                    </a:prstGeom>
                    <a:noFill/>
                    <a:ln>
                      <a:noFill/>
                    </a:ln>
                  </pic:spPr>
                </pic:pic>
              </a:graphicData>
            </a:graphic>
          </wp:inline>
        </w:drawing>
      </w:r>
    </w:p>
    <w:p w14:paraId="4692F803">
      <w:pPr>
        <w:ind w:firstLineChars="0"/>
        <w:rPr>
          <w:rFonts w:hint="default"/>
          <w:lang w:val="en-US" w:eastAsia="zh-CN"/>
        </w:rPr>
      </w:pPr>
      <w:r>
        <w:rPr>
          <w:rFonts w:hint="eastAsia"/>
          <w:lang w:val="en-US" w:eastAsia="zh-CN"/>
        </w:rPr>
        <w:t>电机负载的功率需求大约为50W，在默认参数xi=0.63下，低压端口DC2（24V）不参与电机负载侧的功率输出。可以看出，此时的低压端口DC2（直流稳压电源Channel 1）仅为数字系统提供功率输出，功率约为7W。此时的高压端口DC1（直流稳压电源Channel 2）为负载提供全部功率输出，功率约为50W。</w:t>
      </w:r>
    </w:p>
    <w:p w14:paraId="776FFB74">
      <w:pPr>
        <w:ind w:left="0" w:leftChars="0" w:firstLine="0" w:firstLineChars="0"/>
        <w:jc w:val="center"/>
      </w:pPr>
      <w:r>
        <w:drawing>
          <wp:inline distT="0" distB="0" distL="114300" distR="114300">
            <wp:extent cx="2767330" cy="2481580"/>
            <wp:effectExtent l="0" t="0" r="1270" b="7620"/>
            <wp:docPr id="3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6"/>
                    <pic:cNvPicPr>
                      <a:picLocks noChangeAspect="1"/>
                    </pic:cNvPicPr>
                  </pic:nvPicPr>
                  <pic:blipFill>
                    <a:blip r:embed="rId74"/>
                    <a:stretch>
                      <a:fillRect/>
                    </a:stretch>
                  </pic:blipFill>
                  <pic:spPr>
                    <a:xfrm>
                      <a:off x="0" y="0"/>
                      <a:ext cx="2767330" cy="2481580"/>
                    </a:xfrm>
                    <a:prstGeom prst="rect">
                      <a:avLst/>
                    </a:prstGeom>
                    <a:noFill/>
                    <a:ln>
                      <a:noFill/>
                    </a:ln>
                  </pic:spPr>
                </pic:pic>
              </a:graphicData>
            </a:graphic>
          </wp:inline>
        </w:drawing>
      </w:r>
    </w:p>
    <w:p w14:paraId="06670420">
      <w:pPr>
        <w:ind w:left="0" w:leftChars="0" w:firstLine="420" w:firstLineChars="0"/>
        <w:jc w:val="both"/>
        <w:rPr>
          <w:rFonts w:hint="eastAsia" w:cs="Times New Roman"/>
          <w:b w:val="0"/>
          <w:bCs/>
          <w:sz w:val="24"/>
          <w:szCs w:val="21"/>
          <w:lang w:val="en-US" w:eastAsia="zh-CN"/>
        </w:rPr>
      </w:pPr>
      <w:r>
        <w:rPr>
          <w:rFonts w:hint="eastAsia" w:cs="Times New Roman"/>
          <w:b w:val="0"/>
          <w:bCs/>
          <w:sz w:val="24"/>
          <w:szCs w:val="21"/>
          <w:lang w:val="en-US" w:eastAsia="zh-CN"/>
        </w:rPr>
        <w:t>调节功率分配系数xi</w:t>
      </w:r>
    </w:p>
    <w:p w14:paraId="66DBBA96">
      <w:pPr>
        <w:ind w:left="0" w:leftChars="0" w:firstLine="0" w:firstLineChars="0"/>
        <w:jc w:val="both"/>
        <w:rPr>
          <w:rFonts w:hint="eastAsia" w:cs="Times New Roman"/>
          <w:b/>
          <w:sz w:val="28"/>
        </w:rPr>
      </w:pPr>
      <w:r>
        <w:rPr>
          <w:rFonts w:hint="eastAsia" w:cs="Times New Roman"/>
          <w:b/>
          <w:sz w:val="28"/>
        </w:rPr>
        <w:drawing>
          <wp:inline distT="0" distB="0" distL="114300" distR="114300">
            <wp:extent cx="5266055" cy="2968625"/>
            <wp:effectExtent l="0" t="0" r="17145" b="3175"/>
            <wp:docPr id="38" name="图片 38" descr="IMG_6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IMG_6519"/>
                    <pic:cNvPicPr>
                      <a:picLocks noChangeAspect="1"/>
                    </pic:cNvPicPr>
                  </pic:nvPicPr>
                  <pic:blipFill>
                    <a:blip r:embed="rId75"/>
                    <a:stretch>
                      <a:fillRect/>
                    </a:stretch>
                  </pic:blipFill>
                  <pic:spPr>
                    <a:xfrm>
                      <a:off x="0" y="0"/>
                      <a:ext cx="5266055" cy="2968625"/>
                    </a:xfrm>
                    <a:prstGeom prst="rect">
                      <a:avLst/>
                    </a:prstGeom>
                  </pic:spPr>
                </pic:pic>
              </a:graphicData>
            </a:graphic>
          </wp:inline>
        </w:drawing>
      </w:r>
    </w:p>
    <w:p w14:paraId="15EA8799">
      <w:pPr>
        <w:ind w:left="0" w:leftChars="0" w:firstLine="420" w:firstLineChars="0"/>
        <w:jc w:val="both"/>
        <w:rPr>
          <w:rFonts w:hint="default" w:cs="Times New Roman"/>
          <w:b w:val="0"/>
          <w:bCs/>
          <w:sz w:val="24"/>
          <w:szCs w:val="21"/>
          <w:lang w:val="en-US" w:eastAsia="zh-CN"/>
        </w:rPr>
      </w:pPr>
      <w:r>
        <w:rPr>
          <w:rFonts w:hint="eastAsia" w:cs="Times New Roman"/>
          <w:b w:val="0"/>
          <w:bCs/>
          <w:sz w:val="24"/>
          <w:szCs w:val="21"/>
          <w:lang w:val="en-US" w:eastAsia="zh-CN"/>
        </w:rPr>
        <w:t>低压端口开始承担更多的功率输出份额，此时的低压端口输出功率达到了24W，高压端口也同步继续输出功率，实现了功率分配的灵活调整。</w:t>
      </w:r>
    </w:p>
    <w:p w14:paraId="43355333">
      <w:pPr>
        <w:ind w:left="0" w:leftChars="0" w:firstLine="420" w:firstLineChars="0"/>
        <w:jc w:val="both"/>
        <w:rPr>
          <w:rFonts w:hint="eastAsia" w:cs="Times New Roman"/>
          <w:b w:val="0"/>
          <w:bCs/>
          <w:sz w:val="24"/>
          <w:szCs w:val="21"/>
          <w:lang w:val="en-US" w:eastAsia="zh-CN"/>
        </w:rPr>
      </w:pPr>
      <w:r>
        <w:rPr>
          <w:rFonts w:hint="eastAsia" w:cs="Times New Roman"/>
          <w:b w:val="0"/>
          <w:bCs/>
          <w:sz w:val="24"/>
          <w:szCs w:val="21"/>
          <w:lang w:val="en-US" w:eastAsia="zh-CN"/>
        </w:rPr>
        <w:drawing>
          <wp:inline distT="0" distB="0" distL="114300" distR="114300">
            <wp:extent cx="5266055" cy="2959100"/>
            <wp:effectExtent l="0" t="0" r="17145" b="12700"/>
            <wp:docPr id="39" name="图片 39" descr="IMG_6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IMG_6520"/>
                    <pic:cNvPicPr>
                      <a:picLocks noChangeAspect="1"/>
                    </pic:cNvPicPr>
                  </pic:nvPicPr>
                  <pic:blipFill>
                    <a:blip r:embed="rId76"/>
                    <a:stretch>
                      <a:fillRect/>
                    </a:stretch>
                  </pic:blipFill>
                  <pic:spPr>
                    <a:xfrm>
                      <a:off x="0" y="0"/>
                      <a:ext cx="5266055" cy="2959100"/>
                    </a:xfrm>
                    <a:prstGeom prst="rect">
                      <a:avLst/>
                    </a:prstGeom>
                  </pic:spPr>
                </pic:pic>
              </a:graphicData>
            </a:graphic>
          </wp:inline>
        </w:drawing>
      </w:r>
    </w:p>
    <w:p w14:paraId="1A491439">
      <w:pPr>
        <w:ind w:left="0" w:leftChars="0" w:firstLine="420" w:firstLineChars="0"/>
        <w:jc w:val="both"/>
        <w:rPr>
          <w:rFonts w:hint="eastAsia" w:cs="Times New Roman"/>
          <w:b/>
          <w:sz w:val="28"/>
        </w:rPr>
      </w:pPr>
      <w:r>
        <w:rPr>
          <w:rFonts w:hint="eastAsia" w:cs="Times New Roman"/>
          <w:b/>
          <w:sz w:val="28"/>
        </w:rPr>
        <w:br w:type="page"/>
      </w:r>
    </w:p>
    <w:p w14:paraId="58A3DA38">
      <w:pPr>
        <w:pStyle w:val="2"/>
        <w:bidi w:val="0"/>
      </w:pPr>
      <w:r>
        <w:rPr>
          <w:rFonts w:hint="eastAsia"/>
        </w:rPr>
        <w:t xml:space="preserve">第四部分 </w:t>
      </w:r>
      <w:r>
        <w:t xml:space="preserve"> </w:t>
      </w:r>
      <w:r>
        <w:rPr>
          <w:rFonts w:hint="eastAsia"/>
        </w:rPr>
        <w:t>总结</w:t>
      </w:r>
    </w:p>
    <w:p w14:paraId="20F77175">
      <w:pPr>
        <w:pStyle w:val="16"/>
        <w:numPr>
          <w:ilvl w:val="0"/>
          <w:numId w:val="7"/>
        </w:numPr>
        <w:ind w:firstLineChars="0"/>
        <w:rPr>
          <w:rFonts w:cs="Times New Roman"/>
          <w:vanish/>
        </w:rPr>
      </w:pPr>
    </w:p>
    <w:p w14:paraId="4FC86A8C">
      <w:pPr>
        <w:pStyle w:val="16"/>
        <w:numPr>
          <w:ilvl w:val="0"/>
          <w:numId w:val="7"/>
        </w:numPr>
        <w:ind w:firstLineChars="0"/>
        <w:rPr>
          <w:rFonts w:cs="Times New Roman"/>
          <w:vanish/>
        </w:rPr>
      </w:pPr>
    </w:p>
    <w:p w14:paraId="56AC5CEB">
      <w:pPr>
        <w:pStyle w:val="3"/>
        <w:numPr>
          <w:ilvl w:val="1"/>
          <w:numId w:val="10"/>
        </w:numPr>
        <w:bidi w:val="0"/>
      </w:pPr>
      <w:r>
        <w:rPr>
          <w:rFonts w:hint="eastAsia"/>
        </w:rPr>
        <w:t xml:space="preserve"> 可扩展之处</w:t>
      </w:r>
    </w:p>
    <w:p w14:paraId="2D7577F7">
      <w:pPr>
        <w:pStyle w:val="16"/>
        <w:rPr>
          <w:rFonts w:cs="Times New Roman"/>
        </w:rPr>
      </w:pPr>
      <w:r>
        <w:rPr>
          <w:rFonts w:hint="eastAsia" w:cs="Times New Roman"/>
        </w:rPr>
        <w:t>本工程已形成较清晰的RT-Thread分层和硬实时控制框架，后续可从三方面扩展。第一，控制闭环可继续完善，将当前预留的机械角/速度反馈接口替换为编码器、霍尔或无感观测器输出，实现速度环和电流环闭环运行。第二，PDSVM算法可扩展为在线功率分配策略，使 xi 不再只由按键给定，而是根据HV/LV端口电压、电流、功率或温升自动调整。第三，RT-Thread服务层可继续增强，包括CANFD通信、故障记录、参数掉电保存、远程调试和多页面OLED显示，使系统从功能验证平台逐步演进为完整电机驱动控制器。</w:t>
      </w:r>
    </w:p>
    <w:p w14:paraId="0E881B58">
      <w:pPr>
        <w:pStyle w:val="3"/>
        <w:numPr>
          <w:ilvl w:val="1"/>
          <w:numId w:val="10"/>
        </w:numPr>
        <w:bidi w:val="0"/>
      </w:pPr>
      <w:bookmarkStart w:id="0" w:name="_GoBack"/>
      <w:bookmarkEnd w:id="0"/>
      <w:r>
        <w:rPr>
          <w:rFonts w:hint="eastAsia"/>
        </w:rPr>
        <w:t xml:space="preserve"> 心得体会</w:t>
      </w:r>
    </w:p>
    <w:p w14:paraId="1B130B34">
      <w:pPr>
        <w:rPr>
          <w:rFonts w:hint="eastAsia" w:cs="Times New Roman"/>
        </w:rPr>
      </w:pPr>
      <w:r>
        <w:rPr>
          <w:rFonts w:hint="eastAsia" w:cs="Times New Roman"/>
        </w:rPr>
        <w:t>本次软件设计的核心体会是：在电机控制这类强实时系统中，RTOS并不是用来替代硬实时控制环，而是用于组织控制环之外的系统服务。工程实现中，EPWM2 ISR负责20 kHz控制周期，EPWM1、ADCA和EDMA负责连续采样，EPWM8~13负责PWM输出，这些关键路径必须保持严格确定性；而RT-Thread更适合承担线程调度、系统启动、Shell调试、OLED显示、故障处理和遥测输出等任务。通过这种分层设计，可以避免复杂逻辑进入中断，同时防止线程调度影响控制周期，提高系统稳定性和可维护性。</w:t>
      </w:r>
    </w:p>
    <w:p w14:paraId="3D5C72F8">
      <w:pPr>
        <w:rPr>
          <w:rFonts w:hint="eastAsia" w:cs="Times New Roman"/>
        </w:rPr>
      </w:pPr>
      <w:r>
        <w:rPr>
          <w:rFonts w:hint="eastAsia" w:cs="Times New Roman"/>
        </w:rPr>
        <w:t>开发过程中，一个重要经验是明确系统数据流边界。ADC-DMA模块仅负责更新采样帧，控制ISR读取当前周期所需的三相电流和母线信息，OLED线程只访问显示变量。按键线程通过共享变量提供 xi、speed、F 等参数，故障处理通过 rt_event 通知保护线程，遥测数据通过 rt_ringbuffer 从ISR传递至日志线程。不同数据根据实时性需求采用不同通信方式，而非统一使用单一IPC机制，更符合嵌入式实时系统设计原则。</w:t>
      </w:r>
    </w:p>
    <w:p w14:paraId="793D62E8">
      <w:pPr>
        <w:rPr>
          <w:rFonts w:hint="eastAsia" w:cs="Times New Roman"/>
        </w:rPr>
      </w:pPr>
      <w:r>
        <w:rPr>
          <w:rFonts w:hint="eastAsia" w:cs="Times New Roman"/>
        </w:rPr>
        <w:t>PDSVM算法从仿真模型迁移到嵌入式实现时，也需要考虑大量工程因素。算法首先根据电压分配系数 xi 将目标电压矢量分配到upper/lower端口，再分别计算两个端口的SVM占空比；实际实现中还需要处理母线电压变化、调制范围限制、过调制、占空比钳位以及PWM寄存器映射等问题。最终通过统一接口，使 duty.upper 和 duty.lower 能够直接对应EPWM8~13输出，实现控制算法与功率桥臂之间的直接映射。</w:t>
      </w:r>
    </w:p>
    <w:p w14:paraId="7BB291CE">
      <w:pPr>
        <w:rPr>
          <w:rFonts w:hint="eastAsia" w:cs="Times New Roman"/>
        </w:rPr>
      </w:pPr>
      <w:r>
        <w:rPr>
          <w:rFonts w:hint="eastAsia" w:cs="Times New Roman"/>
        </w:rPr>
        <w:t>系统开发初期，基于NS800RT7P65 BSP工程搭建RT-Thread环境，完成SCons构建配置、rtconfig.h参数调整以及外设驱动适配。随后按照由底层到上层的方式开发：首先验证EPWM输出和ADC-DMA采样链路，再加入按键调节和OLED显示，最后将电机控制算法和PDSVM功率分配算法接入EPWM2中断，实现完整控制流程。</w:t>
      </w:r>
    </w:p>
    <w:p w14:paraId="3F05810D">
      <w:pPr>
        <w:rPr>
          <w:rFonts w:hint="eastAsia" w:cs="Times New Roman"/>
        </w:rPr>
      </w:pPr>
      <w:r>
        <w:rPr>
          <w:rFonts w:hint="eastAsia" w:cs="Times New Roman"/>
        </w:rPr>
        <w:t>开发过程中也遇到了一些典型问题。例如，在PWM调试阶段曾出现输出相位异常，通过逐路验证EPWM配置、关闭同步功能并结合示波器观察波形，最终定位到PWM同步和寄存器配置问题。在ADC-DMA调试中，曾出现采样数据错位和控制读取异常，通过检查DMA地址、ADC触发源以及数据更新时间，发现问题来自采样帧更新与ISR读取不同步，因此采用固定采样帧结构，并保证ISR读取完整数据，提高采样可靠性。</w:t>
      </w:r>
    </w:p>
    <w:p w14:paraId="24839F4C">
      <w:pPr>
        <w:rPr>
          <w:rFonts w:hint="eastAsia" w:cs="Times New Roman"/>
        </w:rPr>
      </w:pPr>
      <w:r>
        <w:rPr>
          <w:rFonts w:hint="eastAsia" w:cs="Times New Roman"/>
        </w:rPr>
        <w:t>在RTOS集成过程中，OLED刷新、Shell调试等任务执行时间较长，若直接放入控制中断，会造成控制周期抖动。因此将显示、日志和按键扫描任务全部放入RT-Thread线程中，并通过共享变量、事件通知和环形缓冲区通信，使20 kHz控制环保持稳定运行。同时采用逐步增加任务模块的方法验证系统负载，降低调试复杂度。</w:t>
      </w:r>
    </w:p>
    <w:p w14:paraId="14CCBC1B">
      <w:pPr>
        <w:rPr>
          <w:rFonts w:hint="eastAsia" w:cs="Times New Roman"/>
        </w:rPr>
      </w:pPr>
      <w:r>
        <w:rPr>
          <w:rFonts w:hint="eastAsia" w:cs="Times New Roman"/>
        </w:rPr>
        <w:t>最终调试时，先通过开环旋转电压矢量验证EPWM8~13输出关系，再检查ADC采样稳定性，随后接入控制算法并观察执行时间、PWM占空比和系统状态变化，逐步排查算法、采样和硬件映射问题。通过加入 rt_event 和 rt_ringbuffer，实现故障保护和遥测输出，提高了系统状态监控和问题定位能力。</w:t>
      </w:r>
    </w:p>
    <w:p w14:paraId="41E76D78">
      <w:pPr>
        <w:rPr>
          <w:rFonts w:hint="eastAsia" w:cs="Times New Roman"/>
          <w:b/>
          <w:sz w:val="28"/>
        </w:rPr>
      </w:pPr>
      <w:r>
        <w:rPr>
          <w:rFonts w:hint="eastAsia" w:cs="Times New Roman"/>
        </w:rPr>
        <w:t>通过本次设计，我认识到复杂嵌入式控制系统的关键不仅在于控制算法本身，更在于实时控制、外设驱动、任务调度和系统服务之间的合理组织。可靠的电机控制系统需要明确硬实时路径和软实时服务的边界，通过合理的软件架构保证控制性能，同时提升系统扩展性和工程维护效率。此次开发也进一步加深了我对RTOS在实时控制系统中的应用方式，以及理论算法向实际嵌入式实现过程中工程细节重要性的理解。</w:t>
      </w:r>
      <w:r>
        <w:rPr>
          <w:rFonts w:hint="eastAsia" w:cs="Times New Roman"/>
          <w:b/>
          <w:sz w:val="28"/>
        </w:rPr>
        <w:br w:type="page"/>
      </w:r>
    </w:p>
    <w:p w14:paraId="04655DF5">
      <w:pPr>
        <w:pStyle w:val="2"/>
        <w:bidi w:val="0"/>
        <w:rPr>
          <w:rFonts w:cs="Times New Roman"/>
          <w:b/>
        </w:rPr>
      </w:pPr>
      <w:r>
        <w:rPr>
          <w:rFonts w:hint="eastAsia" w:cs="Times New Roman"/>
          <w:b/>
          <w:sz w:val="28"/>
        </w:rPr>
        <w:t xml:space="preserve">第五部分 </w:t>
      </w:r>
      <w:r>
        <w:rPr>
          <w:rFonts w:cs="Times New Roman"/>
          <w:b/>
          <w:sz w:val="28"/>
        </w:rPr>
        <w:t xml:space="preserve"> </w:t>
      </w:r>
      <w:r>
        <w:rPr>
          <w:rFonts w:hint="eastAsia" w:cs="Times New Roman"/>
          <w:b/>
        </w:rPr>
        <w:t>参考文献</w:t>
      </w:r>
    </w:p>
    <w:p w14:paraId="656B7EC3">
      <w:pPr>
        <w:ind w:firstLine="0" w:firstLineChars="0"/>
        <w:rPr>
          <w:rFonts w:hint="eastAsia" w:cs="Times New Roman"/>
        </w:rPr>
      </w:pPr>
      <w:r>
        <w:rPr>
          <w:rFonts w:hint="eastAsia" w:cs="Times New Roman"/>
        </w:rPr>
        <w:t>[1] Z. Huang, D. Zhou, L. Wang, Z. Shen, and Y. Li, “A review of single-stage multiport inverters for multisource applications,” IEEE Trans. Power Electron., vol. 38, no. 5, pp. 6566–6584, May 2023, doi: 10.1109/TPEL.2023.3234358.</w:t>
      </w:r>
    </w:p>
    <w:p w14:paraId="18D67BDC">
      <w:pPr>
        <w:ind w:firstLine="0" w:firstLineChars="0"/>
        <w:rPr>
          <w:rFonts w:hint="eastAsia" w:cs="Times New Roman"/>
        </w:rPr>
      </w:pPr>
      <w:r>
        <w:rPr>
          <w:rFonts w:hint="eastAsia" w:cs="Times New Roman"/>
        </w:rPr>
        <w:t>[2] Z. Huang, D. Zhou, Z. Shen, and J. Zou, “Directed graph-based topology derivation method for single-stage multiport inverters,” IEEE Trans. Power Electron., vol. 38, no. 11, pp. 14614–14627, Nov. 2023, doi: 10.1109/TPEL.2023.3305988.</w:t>
      </w:r>
    </w:p>
    <w:p w14:paraId="02B14B06">
      <w:pPr>
        <w:ind w:firstLine="0" w:firstLineChars="0"/>
        <w:rPr>
          <w:rFonts w:hint="eastAsia" w:cs="Times New Roman"/>
        </w:rPr>
      </w:pPr>
      <w:r>
        <w:rPr>
          <w:rFonts w:hint="eastAsia" w:cs="Times New Roman"/>
        </w:rPr>
        <w:t>[3] L. Liu, D. Zhou, J. Zou, and W. Wang, “Decoupled modeling and wide-range power distribution strategy for the multisource inverter in microgrids,” IEEE Trans. Power Electron., vol. 38, no. 10, pp. 12078–12090, Oct. 2023, doi: 10.1109/TPEL.2023.3285008.</w:t>
      </w:r>
    </w:p>
    <w:p w14:paraId="66D93BFA">
      <w:pPr>
        <w:ind w:firstLine="0" w:firstLineChars="0"/>
        <w:rPr>
          <w:rFonts w:hint="eastAsia" w:cs="Times New Roman"/>
        </w:rPr>
      </w:pPr>
      <w:r>
        <w:rPr>
          <w:rFonts w:hint="eastAsia" w:cs="Times New Roman"/>
        </w:rPr>
        <w:t>[4] D. Zhou, L. Liu, Y. Mao, and J. Zou, “Asymmetrical level-shifted PWM-based power distribution control of single-stage multiport inverter-connected islanded microgrids,” IEEE Trans. Power Electron., vol. 39, no. 10, pp. 12294–12305, Oct. 2024, doi: 10.1109/TPEL.2024.3404277.</w:t>
      </w:r>
    </w:p>
    <w:p w14:paraId="316BFE5D">
      <w:pPr>
        <w:ind w:firstLine="0" w:firstLineChars="0"/>
        <w:rPr>
          <w:rFonts w:hint="eastAsia" w:cs="Times New Roman"/>
        </w:rPr>
      </w:pPr>
      <w:r>
        <w:rPr>
          <w:rFonts w:hint="eastAsia" w:cs="Times New Roman"/>
        </w:rPr>
        <w:t>[5] L. Liu, D. Zhou, J. Zou, and Z. Shen, “Direct power distribution strategy based on space vector modulation for single-stage dual-DC-port inverter,” IEEE Trans. Power Electron., vol. 40, no. 8, pp. 11552–11563, Aug. 2025, doi: 10.1109/TPEL.2025.3555664.</w:t>
      </w:r>
    </w:p>
    <w:p w14:paraId="231AFB80">
      <w:pPr>
        <w:ind w:firstLine="0" w:firstLineChars="0"/>
        <w:rPr>
          <w:rFonts w:hint="eastAsia" w:cs="Times New Roman"/>
        </w:rPr>
      </w:pPr>
      <w:r>
        <w:rPr>
          <w:rFonts w:hint="eastAsia" w:cs="Times New Roman"/>
        </w:rPr>
        <w:t>[6] Y. Huang, D. Zhou, X. Liu, J. Zou, and Z. Shen, “Hybrid SVM with duty cycle waveform split for power allocation of single-stage multiport inverter-formed islanded microgrids,” IEEE Trans. Power Electron., vol. 41, no. 3, pp. 4260–4271, Mar. 2026, doi: 10.1109/TPEL.2025.3616128.</w:t>
      </w:r>
    </w:p>
    <w:p w14:paraId="6D0555DC">
      <w:pPr>
        <w:ind w:firstLine="0" w:firstLineChars="0"/>
        <w:rPr>
          <w:rFonts w:hint="eastAsia" w:cs="Times New Roman"/>
        </w:rPr>
      </w:pPr>
      <w:r>
        <w:rPr>
          <w:rFonts w:hint="eastAsia" w:cs="Times New Roman"/>
        </w:rPr>
        <w:t>[7] W. Zhang, D. Zhou, Z. Shen, J. Zou, and X. Liu, “Dual synchronous rotating frame-based power allocation control of single-stage multiport inverter in islanded microgrids,” IEEE Trans. Power Electron., vol. 41, no. 1, pp. 1067–1076, Jan. 2026, doi: 10.1109/TPEL.2025.3603997.</w:t>
      </w:r>
    </w:p>
    <w:p w14:paraId="358ABEDE">
      <w:pPr>
        <w:ind w:firstLine="0" w:firstLineChars="0"/>
        <w:rPr>
          <w:rFonts w:hint="eastAsia" w:cs="Times New Roman"/>
        </w:rPr>
      </w:pPr>
      <w:r>
        <w:rPr>
          <w:rFonts w:hint="eastAsia" w:cs="Times New Roman"/>
        </w:rPr>
        <w:t>[8] K. Luo, D. Zhou, Z. Zhang, J. Zou, and X. Zhou, “Three-dimensional vector cube decomposition-based power allocation for multisource inverter-fed PMSM drives,” IEEE Trans. Power Electron., vol. 40, no. 8, pp. 10705–10716, Aug. 2025, doi: 10.1109/TPEL.2025.3554334.</w:t>
      </w:r>
    </w:p>
    <w:p w14:paraId="1ED243D1">
      <w:pPr>
        <w:ind w:firstLine="0" w:firstLineChars="0"/>
        <w:rPr>
          <w:rFonts w:hint="eastAsia" w:cs="Times New Roman"/>
        </w:rPr>
      </w:pPr>
      <w:r>
        <w:rPr>
          <w:rFonts w:hint="eastAsia" w:cs="Times New Roman"/>
        </w:rPr>
        <w:t>[9] D. Zhou, Y. Ding, S. Jia, and J. Zou, “Hybrid predictive control with linear power distribution of single-stage multiport inverters for hybrid electric vehicles,” IEEE Trans. Ind. Electron., vol. 72, no. 11, pp. 11181–11190, Nov. 2025, doi: 10.1109/TIE.2025.3563726.</w:t>
      </w:r>
    </w:p>
    <w:p w14:paraId="6B5A7B8A">
      <w:pPr>
        <w:ind w:firstLine="0" w:firstLineChars="0"/>
        <w:rPr>
          <w:rFonts w:hint="eastAsia" w:cs="Times New Roman"/>
        </w:rPr>
      </w:pPr>
      <w:r>
        <w:rPr>
          <w:rFonts w:hint="eastAsia" w:cs="Times New Roman"/>
        </w:rPr>
        <w:t>[10] D. Zhou, Y. Mao, and J. Zou, “Double zero-sequence voltage injection-based power distribution control of single-stage multiport inverter-fed hybrid electric vehicles,” IEEE Trans. Ind. Electron., vol. 72, no. 2, pp. 1347–1356, Feb. 2025, doi: 10.1109/TIE.2024.3426109.</w:t>
      </w:r>
    </w:p>
    <w:p w14:paraId="329C23F7">
      <w:pPr>
        <w:ind w:firstLine="0" w:firstLineChars="0"/>
        <w:rPr>
          <w:rFonts w:hint="eastAsia" w:cs="Times New Roman"/>
        </w:rPr>
      </w:pPr>
      <w:r>
        <w:rPr>
          <w:rFonts w:hint="eastAsia" w:cs="Times New Roman"/>
        </w:rPr>
        <w:t>[11] D. Zhou, K. Luo, Z. Shen, and J. Zou, “Vector-space-decomposition-based power flow control of single-stage-multiport-inverter-fed PMSM drive for hybrid electric vehicles,” IEEE Trans. Ind. Electron., vol. 71, no. 8, pp. 8514–8524, Aug. 2024, doi: 10.1109/TIE.2023.3322004.</w:t>
      </w:r>
    </w:p>
    <w:p w14:paraId="7D64F6CA">
      <w:pPr>
        <w:ind w:firstLine="0" w:firstLineChars="0"/>
        <w:rPr>
          <w:rFonts w:hint="eastAsia" w:cs="Times New Roman"/>
        </w:rPr>
      </w:pPr>
      <w:r>
        <w:rPr>
          <w:rFonts w:hint="eastAsia" w:cs="Times New Roman"/>
        </w:rPr>
        <w:t>[12] Y. Yu, S. Jia, X. Liu, J. Zou, and D. Zhou, “Iterative learning-based power distribution control of multisource inverters via zero-sequence component compensation,” IEEE Trans. Ind. Electron., vol. 72, no. 9, pp. 9128–9138, Sep. 2025, doi: 10.1109/TIE.2025.3539327.</w:t>
      </w:r>
    </w:p>
    <w:p w14:paraId="0EF33DB1">
      <w:pPr>
        <w:ind w:firstLine="0" w:firstLineChars="0"/>
        <w:rPr>
          <w:rFonts w:hint="eastAsia" w:cs="Times New Roman"/>
        </w:rPr>
      </w:pPr>
      <w:r>
        <w:rPr>
          <w:rFonts w:hint="eastAsia" w:cs="Times New Roman"/>
        </w:rPr>
        <w:t>[13] Y. Yu, D. Zhou, Z. Shen, J. Zou, and X. Liu, “Repetitive control-based power distribution scheme for single-stage dual-port inverters with power ripple reduction,” IEEE Trans. Ind. Electron., vol. 73, no. 4, pp. 5603–5614, Apr. 2026, doi: 10.1109/TIE.2025.3629319.</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36385704"/>
      <w:docPartObj>
        <w:docPartGallery w:val="autotext"/>
      </w:docPartObj>
    </w:sdtPr>
    <w:sdtEndPr>
      <w:rPr>
        <w:lang w:val="zh-CN"/>
      </w:rPr>
    </w:sdtEndPr>
    <w:sdtContent>
      <w:p w14:paraId="0DF66800">
        <w:pPr>
          <w:pStyle w:val="8"/>
          <w:ind w:firstLine="360"/>
          <w:jc w:val="center"/>
        </w:pPr>
        <w:r>
          <w:fldChar w:fldCharType="begin"/>
        </w:r>
        <w:r>
          <w:instrText xml:space="preserve"> PAGE   \* MERGEFORMAT </w:instrText>
        </w:r>
        <w:r>
          <w:fldChar w:fldCharType="separate"/>
        </w:r>
        <w:r>
          <w:rPr>
            <w:lang w:val="zh-CN"/>
          </w:rPr>
          <w:t>3</w:t>
        </w:r>
        <w:r>
          <w:rPr>
            <w:lang w:val="zh-CN"/>
          </w:rPr>
          <w:fldChar w:fldCharType="end"/>
        </w:r>
      </w:p>
    </w:sdtContent>
  </w:sdt>
  <w:p w14:paraId="41007435">
    <w:pPr>
      <w:pStyle w:val="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9C356">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9100D">
    <w:pPr>
      <w:pStyle w:val="8"/>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751E8">
    <w:pPr>
      <w:ind w:firstLine="480"/>
      <w:jc w:val="center"/>
    </w:pPr>
    <w:r>
      <w:rPr>
        <w:rFonts w:hint="eastAsia"/>
      </w:rPr>
      <w:drawing>
        <wp:inline distT="0" distB="0" distL="0" distR="0">
          <wp:extent cx="3206115" cy="445770"/>
          <wp:effectExtent l="0" t="0" r="0" b="0"/>
          <wp:docPr id="1656786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86199"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51819" cy="479999"/>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70AF1">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307DC">
    <w:pPr>
      <w:pStyle w:val="9"/>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FED74E"/>
    <w:multiLevelType w:val="singleLevel"/>
    <w:tmpl w:val="95FED74E"/>
    <w:lvl w:ilvl="0" w:tentative="0">
      <w:start w:val="1"/>
      <w:numFmt w:val="decimal"/>
      <w:lvlText w:val="%1)"/>
      <w:lvlJc w:val="left"/>
      <w:pPr>
        <w:tabs>
          <w:tab w:val="left" w:pos="420"/>
        </w:tabs>
        <w:ind w:left="845" w:hanging="425"/>
      </w:pPr>
      <w:rPr>
        <w:rFonts w:hint="default"/>
      </w:rPr>
    </w:lvl>
  </w:abstractNum>
  <w:abstractNum w:abstractNumId="1">
    <w:nsid w:val="BFF2C61A"/>
    <w:multiLevelType w:val="singleLevel"/>
    <w:tmpl w:val="BFF2C61A"/>
    <w:lvl w:ilvl="0" w:tentative="0">
      <w:start w:val="1"/>
      <w:numFmt w:val="decimal"/>
      <w:lvlText w:val="%1)"/>
      <w:lvlJc w:val="left"/>
      <w:pPr>
        <w:ind w:left="425" w:hanging="425"/>
      </w:pPr>
      <w:rPr>
        <w:rFonts w:hint="default"/>
      </w:rPr>
    </w:lvl>
  </w:abstractNum>
  <w:abstractNum w:abstractNumId="2">
    <w:nsid w:val="D7FECF27"/>
    <w:multiLevelType w:val="multilevel"/>
    <w:tmpl w:val="D7FECF27"/>
    <w:lvl w:ilvl="0" w:tentative="0">
      <w:start w:val="1"/>
      <w:numFmt w:val="decimal"/>
      <w:lvlText w:val="%1."/>
      <w:lvlJc w:val="left"/>
      <w:pPr>
        <w:ind w:left="432" w:hanging="432"/>
      </w:pPr>
      <w:rPr>
        <w:rFonts w:hint="default"/>
      </w:rPr>
    </w:lvl>
    <w:lvl w:ilvl="1" w:tentative="0">
      <w:start w:val="1"/>
      <w:numFmt w:val="decimal"/>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3">
    <w:nsid w:val="DCCF4350"/>
    <w:multiLevelType w:val="singleLevel"/>
    <w:tmpl w:val="DCCF4350"/>
    <w:lvl w:ilvl="0" w:tentative="0">
      <w:start w:val="1"/>
      <w:numFmt w:val="decimal"/>
      <w:lvlText w:val="%1)"/>
      <w:lvlJc w:val="left"/>
      <w:pPr>
        <w:tabs>
          <w:tab w:val="left" w:pos="420"/>
        </w:tabs>
        <w:ind w:left="845" w:hanging="425"/>
      </w:pPr>
      <w:rPr>
        <w:rFonts w:hint="default"/>
      </w:rPr>
    </w:lvl>
  </w:abstractNum>
  <w:abstractNum w:abstractNumId="4">
    <w:nsid w:val="1A462133"/>
    <w:multiLevelType w:val="multilevel"/>
    <w:tmpl w:val="1A462133"/>
    <w:lvl w:ilvl="0" w:tentative="0">
      <w:start w:val="3"/>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5">
    <w:nsid w:val="21E90FAC"/>
    <w:multiLevelType w:val="multilevel"/>
    <w:tmpl w:val="21E90FAC"/>
    <w:lvl w:ilvl="0" w:tentative="0">
      <w:start w:val="1"/>
      <w:numFmt w:val="decimal"/>
      <w:lvlText w:val="%1"/>
      <w:lvlJc w:val="left"/>
      <w:pPr>
        <w:ind w:left="420" w:hanging="420"/>
      </w:pPr>
      <w:rPr>
        <w:rFonts w:hint="default"/>
      </w:rPr>
    </w:lvl>
    <w:lvl w:ilvl="1" w:tentative="0">
      <w:start w:val="1"/>
      <w:numFmt w:val="decimal"/>
      <w:lvlText w:val="%1.%2"/>
      <w:lvlJc w:val="left"/>
      <w:pPr>
        <w:ind w:left="420" w:hanging="4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6">
    <w:nsid w:val="2A5F37ED"/>
    <w:multiLevelType w:val="multilevel"/>
    <w:tmpl w:val="2A5F37ED"/>
    <w:lvl w:ilvl="0" w:tentative="0">
      <w:start w:val="4"/>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7">
    <w:nsid w:val="4FCEEE68"/>
    <w:multiLevelType w:val="singleLevel"/>
    <w:tmpl w:val="4FCEEE68"/>
    <w:lvl w:ilvl="0" w:tentative="0">
      <w:start w:val="1"/>
      <w:numFmt w:val="decimal"/>
      <w:lvlText w:val="%1)"/>
      <w:lvlJc w:val="left"/>
      <w:pPr>
        <w:tabs>
          <w:tab w:val="left" w:pos="420"/>
        </w:tabs>
        <w:ind w:left="845" w:hanging="425"/>
      </w:pPr>
      <w:rPr>
        <w:rFonts w:hint="default"/>
      </w:rPr>
    </w:lvl>
  </w:abstractNum>
  <w:abstractNum w:abstractNumId="8">
    <w:nsid w:val="5F7FB8A2"/>
    <w:multiLevelType w:val="singleLevel"/>
    <w:tmpl w:val="5F7FB8A2"/>
    <w:lvl w:ilvl="0" w:tentative="0">
      <w:start w:val="1"/>
      <w:numFmt w:val="decimal"/>
      <w:lvlText w:val="%1)"/>
      <w:lvlJc w:val="left"/>
      <w:pPr>
        <w:ind w:left="425" w:hanging="425"/>
      </w:pPr>
      <w:rPr>
        <w:rFonts w:hint="default"/>
      </w:rPr>
    </w:lvl>
  </w:abstractNum>
  <w:num w:numId="1">
    <w:abstractNumId w:val="2"/>
  </w:num>
  <w:num w:numId="2">
    <w:abstractNumId w:val="5"/>
  </w:num>
  <w:num w:numId="3">
    <w:abstractNumId w:val="0"/>
  </w:num>
  <w:num w:numId="4">
    <w:abstractNumId w:val="3"/>
  </w:num>
  <w:num w:numId="5">
    <w:abstractNumId w:val="7"/>
  </w:num>
  <w:num w:numId="6">
    <w:abstractNumId w:val="1"/>
  </w:num>
  <w:num w:numId="7">
    <w:abstractNumId w:val="4"/>
  </w:num>
  <w:num w:numId="8">
    <w:abstractNumId w:val="8"/>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E1E"/>
    <w:rsid w:val="000039E8"/>
    <w:rsid w:val="000255DE"/>
    <w:rsid w:val="00040B30"/>
    <w:rsid w:val="00153FBD"/>
    <w:rsid w:val="00224F85"/>
    <w:rsid w:val="0024412D"/>
    <w:rsid w:val="0025156F"/>
    <w:rsid w:val="0025690D"/>
    <w:rsid w:val="0027745D"/>
    <w:rsid w:val="00286959"/>
    <w:rsid w:val="002C6823"/>
    <w:rsid w:val="002E0217"/>
    <w:rsid w:val="002E59D1"/>
    <w:rsid w:val="002F022D"/>
    <w:rsid w:val="002F2518"/>
    <w:rsid w:val="00317182"/>
    <w:rsid w:val="003B690E"/>
    <w:rsid w:val="00412DF4"/>
    <w:rsid w:val="004155F7"/>
    <w:rsid w:val="00467CC3"/>
    <w:rsid w:val="00476C7E"/>
    <w:rsid w:val="00481574"/>
    <w:rsid w:val="00492D31"/>
    <w:rsid w:val="004B0483"/>
    <w:rsid w:val="004C2090"/>
    <w:rsid w:val="00503769"/>
    <w:rsid w:val="0050781A"/>
    <w:rsid w:val="00544653"/>
    <w:rsid w:val="005874DA"/>
    <w:rsid w:val="005F29CB"/>
    <w:rsid w:val="0064608B"/>
    <w:rsid w:val="00647442"/>
    <w:rsid w:val="006A3AB3"/>
    <w:rsid w:val="006A782C"/>
    <w:rsid w:val="006D7446"/>
    <w:rsid w:val="007A5E1F"/>
    <w:rsid w:val="007B6F6C"/>
    <w:rsid w:val="00852CF1"/>
    <w:rsid w:val="008C31F8"/>
    <w:rsid w:val="008C4E92"/>
    <w:rsid w:val="008E493E"/>
    <w:rsid w:val="008F2DB5"/>
    <w:rsid w:val="00906A75"/>
    <w:rsid w:val="009645B8"/>
    <w:rsid w:val="009B113E"/>
    <w:rsid w:val="009F67A4"/>
    <w:rsid w:val="00A13EC9"/>
    <w:rsid w:val="00A15190"/>
    <w:rsid w:val="00A20197"/>
    <w:rsid w:val="00A32D3D"/>
    <w:rsid w:val="00A80872"/>
    <w:rsid w:val="00A879D4"/>
    <w:rsid w:val="00A94204"/>
    <w:rsid w:val="00A944A7"/>
    <w:rsid w:val="00AC487C"/>
    <w:rsid w:val="00AD0A11"/>
    <w:rsid w:val="00AD1F2B"/>
    <w:rsid w:val="00AE61E7"/>
    <w:rsid w:val="00AF1418"/>
    <w:rsid w:val="00BA28F9"/>
    <w:rsid w:val="00BB63A6"/>
    <w:rsid w:val="00BE5959"/>
    <w:rsid w:val="00BF498F"/>
    <w:rsid w:val="00C31FE9"/>
    <w:rsid w:val="00C91281"/>
    <w:rsid w:val="00CB5731"/>
    <w:rsid w:val="00CC4B77"/>
    <w:rsid w:val="00D0540C"/>
    <w:rsid w:val="00D25B90"/>
    <w:rsid w:val="00D66B66"/>
    <w:rsid w:val="00D66E1E"/>
    <w:rsid w:val="00DE75FD"/>
    <w:rsid w:val="00E85988"/>
    <w:rsid w:val="00E93094"/>
    <w:rsid w:val="00EE2B37"/>
    <w:rsid w:val="00EF13AD"/>
    <w:rsid w:val="00EF2D16"/>
    <w:rsid w:val="00EF2E0E"/>
    <w:rsid w:val="00F53034"/>
    <w:rsid w:val="00F75CE1"/>
    <w:rsid w:val="07CE71C8"/>
    <w:rsid w:val="0FDE3ABC"/>
    <w:rsid w:val="12843C71"/>
    <w:rsid w:val="142741A0"/>
    <w:rsid w:val="173C9F30"/>
    <w:rsid w:val="17AD9C30"/>
    <w:rsid w:val="17EFBA39"/>
    <w:rsid w:val="1A97C6AF"/>
    <w:rsid w:val="1D7E17B7"/>
    <w:rsid w:val="1DDC0E1B"/>
    <w:rsid w:val="1EFFB793"/>
    <w:rsid w:val="1FDB3E39"/>
    <w:rsid w:val="1FFDC3AF"/>
    <w:rsid w:val="24FDC370"/>
    <w:rsid w:val="27FDC5A6"/>
    <w:rsid w:val="2AAB2D5C"/>
    <w:rsid w:val="2E5D5502"/>
    <w:rsid w:val="2F1B9BBB"/>
    <w:rsid w:val="2F7DDA1B"/>
    <w:rsid w:val="2FAB753D"/>
    <w:rsid w:val="2FF7FDD7"/>
    <w:rsid w:val="2FFB7D4C"/>
    <w:rsid w:val="3133083A"/>
    <w:rsid w:val="31611710"/>
    <w:rsid w:val="336F3D5B"/>
    <w:rsid w:val="33F3155B"/>
    <w:rsid w:val="3527881C"/>
    <w:rsid w:val="3535F335"/>
    <w:rsid w:val="35DFCB7F"/>
    <w:rsid w:val="366D580A"/>
    <w:rsid w:val="36EFB16B"/>
    <w:rsid w:val="37FFAC94"/>
    <w:rsid w:val="3A7A0C82"/>
    <w:rsid w:val="3A9E854F"/>
    <w:rsid w:val="3AEFF22B"/>
    <w:rsid w:val="3B9E72F4"/>
    <w:rsid w:val="3BD58BBD"/>
    <w:rsid w:val="3BFDFAB7"/>
    <w:rsid w:val="3DED0356"/>
    <w:rsid w:val="3E6BF727"/>
    <w:rsid w:val="3E9BDDBB"/>
    <w:rsid w:val="3F79EF7A"/>
    <w:rsid w:val="3F7AB309"/>
    <w:rsid w:val="3FD88FF1"/>
    <w:rsid w:val="3FDF0310"/>
    <w:rsid w:val="3FFFAE58"/>
    <w:rsid w:val="402623B5"/>
    <w:rsid w:val="46F40842"/>
    <w:rsid w:val="49FFE2DD"/>
    <w:rsid w:val="4DD96955"/>
    <w:rsid w:val="4FBF2CA6"/>
    <w:rsid w:val="4FD412DB"/>
    <w:rsid w:val="4FFAC317"/>
    <w:rsid w:val="4FFD0460"/>
    <w:rsid w:val="51BF933C"/>
    <w:rsid w:val="52721D98"/>
    <w:rsid w:val="52B851B9"/>
    <w:rsid w:val="52EE776E"/>
    <w:rsid w:val="535F47E2"/>
    <w:rsid w:val="577FF97C"/>
    <w:rsid w:val="57BB040A"/>
    <w:rsid w:val="57BF4A8F"/>
    <w:rsid w:val="57BFE4B8"/>
    <w:rsid w:val="5AF7C907"/>
    <w:rsid w:val="5B4F3FB4"/>
    <w:rsid w:val="5BFA62D4"/>
    <w:rsid w:val="5BFF4AB7"/>
    <w:rsid w:val="5CBCF77D"/>
    <w:rsid w:val="5F7D2A2D"/>
    <w:rsid w:val="5FD63F59"/>
    <w:rsid w:val="5FE75BCD"/>
    <w:rsid w:val="5FFE7C67"/>
    <w:rsid w:val="67FFBBF5"/>
    <w:rsid w:val="69F76FCD"/>
    <w:rsid w:val="69FD1BD9"/>
    <w:rsid w:val="6ADFB3C4"/>
    <w:rsid w:val="6B398939"/>
    <w:rsid w:val="6B9DBD88"/>
    <w:rsid w:val="6BA35623"/>
    <w:rsid w:val="6BDFE55C"/>
    <w:rsid w:val="6BF7C669"/>
    <w:rsid w:val="6CB64668"/>
    <w:rsid w:val="6CFF905E"/>
    <w:rsid w:val="6D35C7C5"/>
    <w:rsid w:val="6D4FF336"/>
    <w:rsid w:val="6D6FB3FC"/>
    <w:rsid w:val="6F6F0131"/>
    <w:rsid w:val="6F9B4A62"/>
    <w:rsid w:val="6F9FE750"/>
    <w:rsid w:val="6FBFAC5C"/>
    <w:rsid w:val="6FD7D986"/>
    <w:rsid w:val="6FDF3782"/>
    <w:rsid w:val="6FDFE646"/>
    <w:rsid w:val="6FECCEB9"/>
    <w:rsid w:val="6FEFF2B4"/>
    <w:rsid w:val="71BB17D0"/>
    <w:rsid w:val="71BBABBE"/>
    <w:rsid w:val="71FF53EA"/>
    <w:rsid w:val="72996CFD"/>
    <w:rsid w:val="75FD7F63"/>
    <w:rsid w:val="77550705"/>
    <w:rsid w:val="775D7A64"/>
    <w:rsid w:val="777D968E"/>
    <w:rsid w:val="77DF3A05"/>
    <w:rsid w:val="77FBF9E1"/>
    <w:rsid w:val="7A7E6142"/>
    <w:rsid w:val="7ACF041A"/>
    <w:rsid w:val="7AD5FCB6"/>
    <w:rsid w:val="7ADFEB65"/>
    <w:rsid w:val="7AEA5492"/>
    <w:rsid w:val="7AFC6FBB"/>
    <w:rsid w:val="7B2B0573"/>
    <w:rsid w:val="7B399DE9"/>
    <w:rsid w:val="7B3B8B67"/>
    <w:rsid w:val="7BB56697"/>
    <w:rsid w:val="7BB5E9E7"/>
    <w:rsid w:val="7BB7A541"/>
    <w:rsid w:val="7BFF2339"/>
    <w:rsid w:val="7BFF3AAA"/>
    <w:rsid w:val="7BFF7249"/>
    <w:rsid w:val="7C7ED8E3"/>
    <w:rsid w:val="7CED4615"/>
    <w:rsid w:val="7CFFCF22"/>
    <w:rsid w:val="7D6B0308"/>
    <w:rsid w:val="7DEBD067"/>
    <w:rsid w:val="7DFB47BB"/>
    <w:rsid w:val="7EED5235"/>
    <w:rsid w:val="7EF832D0"/>
    <w:rsid w:val="7EFB0D42"/>
    <w:rsid w:val="7EFC4468"/>
    <w:rsid w:val="7F2F4E71"/>
    <w:rsid w:val="7F3EA34C"/>
    <w:rsid w:val="7F3F6672"/>
    <w:rsid w:val="7F6E05F6"/>
    <w:rsid w:val="7F7B84B0"/>
    <w:rsid w:val="7F9A9CFE"/>
    <w:rsid w:val="7F9D9D3C"/>
    <w:rsid w:val="7FAA4B92"/>
    <w:rsid w:val="7FAE0C10"/>
    <w:rsid w:val="7FAE70C4"/>
    <w:rsid w:val="7FBD88AC"/>
    <w:rsid w:val="7FBDCB0B"/>
    <w:rsid w:val="7FCB60B6"/>
    <w:rsid w:val="7FD9D588"/>
    <w:rsid w:val="7FDEA12F"/>
    <w:rsid w:val="7FDEBB09"/>
    <w:rsid w:val="7FE327F1"/>
    <w:rsid w:val="7FEBCA15"/>
    <w:rsid w:val="7FEDC5FF"/>
    <w:rsid w:val="7FEE3B32"/>
    <w:rsid w:val="7FF7922F"/>
    <w:rsid w:val="7FF7F75A"/>
    <w:rsid w:val="7FFC741A"/>
    <w:rsid w:val="7FFE77EC"/>
    <w:rsid w:val="7FFF4DF2"/>
    <w:rsid w:val="7FFF6087"/>
    <w:rsid w:val="7FFF9DE6"/>
    <w:rsid w:val="8D9595EF"/>
    <w:rsid w:val="907C13B0"/>
    <w:rsid w:val="93BDBFB7"/>
    <w:rsid w:val="94BD0616"/>
    <w:rsid w:val="97F634D1"/>
    <w:rsid w:val="9EFB6176"/>
    <w:rsid w:val="9F7F20D9"/>
    <w:rsid w:val="9FDF55F6"/>
    <w:rsid w:val="9FEABDB4"/>
    <w:rsid w:val="A3F77E92"/>
    <w:rsid w:val="A7B7D763"/>
    <w:rsid w:val="AB5B0F8F"/>
    <w:rsid w:val="ABAA6375"/>
    <w:rsid w:val="AFE47169"/>
    <w:rsid w:val="AFF3663E"/>
    <w:rsid w:val="AFFB3294"/>
    <w:rsid w:val="B6CE9F4A"/>
    <w:rsid w:val="B799B6E6"/>
    <w:rsid w:val="B7EF6EF9"/>
    <w:rsid w:val="BDEBCA61"/>
    <w:rsid w:val="BF37C6C4"/>
    <w:rsid w:val="BF5F3527"/>
    <w:rsid w:val="BF7FB85C"/>
    <w:rsid w:val="BF9F7A56"/>
    <w:rsid w:val="C55D3B3A"/>
    <w:rsid w:val="C7BFE465"/>
    <w:rsid w:val="C7F7EA26"/>
    <w:rsid w:val="CE7F9B73"/>
    <w:rsid w:val="CEEF327C"/>
    <w:rsid w:val="CEEFBEB6"/>
    <w:rsid w:val="CEFB03E4"/>
    <w:rsid w:val="CFAC1482"/>
    <w:rsid w:val="CFCF80A1"/>
    <w:rsid w:val="CFF3AD8C"/>
    <w:rsid w:val="D56EC589"/>
    <w:rsid w:val="D5FE8CD0"/>
    <w:rsid w:val="D7BA86BF"/>
    <w:rsid w:val="D7FFFB56"/>
    <w:rsid w:val="DAA76C14"/>
    <w:rsid w:val="DB57565C"/>
    <w:rsid w:val="DBD96C7E"/>
    <w:rsid w:val="DBF5C815"/>
    <w:rsid w:val="DC7C959E"/>
    <w:rsid w:val="DCB78E6C"/>
    <w:rsid w:val="DCEE9F97"/>
    <w:rsid w:val="DDFEA6D0"/>
    <w:rsid w:val="DF2D7E21"/>
    <w:rsid w:val="DF5295FE"/>
    <w:rsid w:val="DFBB3A42"/>
    <w:rsid w:val="DFEFA774"/>
    <w:rsid w:val="DFEFD440"/>
    <w:rsid w:val="DFF13A0E"/>
    <w:rsid w:val="E38F3F0D"/>
    <w:rsid w:val="E4FAEDCF"/>
    <w:rsid w:val="E8B957E5"/>
    <w:rsid w:val="E9F7FE36"/>
    <w:rsid w:val="E9F9BF97"/>
    <w:rsid w:val="EB5EF139"/>
    <w:rsid w:val="EB765BDB"/>
    <w:rsid w:val="ECE75E50"/>
    <w:rsid w:val="ED3E9FC6"/>
    <w:rsid w:val="EE8807BC"/>
    <w:rsid w:val="EEAF0C03"/>
    <w:rsid w:val="EEF9F4FB"/>
    <w:rsid w:val="EFE60289"/>
    <w:rsid w:val="EFFD2704"/>
    <w:rsid w:val="F191B6FA"/>
    <w:rsid w:val="F33EFF83"/>
    <w:rsid w:val="F3FF807A"/>
    <w:rsid w:val="F4DC5DDF"/>
    <w:rsid w:val="F5F37C12"/>
    <w:rsid w:val="F6D727FA"/>
    <w:rsid w:val="F6FA9CF8"/>
    <w:rsid w:val="F77F1145"/>
    <w:rsid w:val="F79E80E6"/>
    <w:rsid w:val="F7CF960B"/>
    <w:rsid w:val="F7DFFB3A"/>
    <w:rsid w:val="F7F6C89D"/>
    <w:rsid w:val="F9FB492E"/>
    <w:rsid w:val="F9FF1CE8"/>
    <w:rsid w:val="FACB1AE1"/>
    <w:rsid w:val="FAFBBD06"/>
    <w:rsid w:val="FAFBBF4E"/>
    <w:rsid w:val="FB6E7C08"/>
    <w:rsid w:val="FBBB9820"/>
    <w:rsid w:val="FBCEB67C"/>
    <w:rsid w:val="FBDDEA7D"/>
    <w:rsid w:val="FBEF8C7A"/>
    <w:rsid w:val="FBF5BB92"/>
    <w:rsid w:val="FBF6C413"/>
    <w:rsid w:val="FBFF8EEF"/>
    <w:rsid w:val="FC3BDDD9"/>
    <w:rsid w:val="FCB576A7"/>
    <w:rsid w:val="FCBBACC0"/>
    <w:rsid w:val="FD31E2EE"/>
    <w:rsid w:val="FD7B0917"/>
    <w:rsid w:val="FDE93DF6"/>
    <w:rsid w:val="FDF7590E"/>
    <w:rsid w:val="FDFD7139"/>
    <w:rsid w:val="FEBF72A1"/>
    <w:rsid w:val="FEEBF3E4"/>
    <w:rsid w:val="FEFA885A"/>
    <w:rsid w:val="FF3ED7C0"/>
    <w:rsid w:val="FF772C6D"/>
    <w:rsid w:val="FF77C6C1"/>
    <w:rsid w:val="FF7B0C55"/>
    <w:rsid w:val="FF7B7F26"/>
    <w:rsid w:val="FF7D1AA2"/>
    <w:rsid w:val="FF7D555E"/>
    <w:rsid w:val="FF7F3C3C"/>
    <w:rsid w:val="FF7F6EC2"/>
    <w:rsid w:val="FFBFBA3F"/>
    <w:rsid w:val="FFBFBC65"/>
    <w:rsid w:val="FFD6B17A"/>
    <w:rsid w:val="FFDD2CB0"/>
    <w:rsid w:val="FFDF1382"/>
    <w:rsid w:val="FFEF15FA"/>
    <w:rsid w:val="FFF0FA83"/>
    <w:rsid w:val="FFFEAAD6"/>
    <w:rsid w:val="FFFFD1D1"/>
    <w:rsid w:val="FFFFE9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15"/>
    <w:qFormat/>
    <w:uiPriority w:val="9"/>
    <w:pPr>
      <w:keepNext/>
      <w:keepLines/>
      <w:spacing w:before="120" w:after="120" w:line="240" w:lineRule="auto"/>
      <w:ind w:firstLine="0" w:firstLineChars="0"/>
      <w:outlineLvl w:val="0"/>
    </w:pPr>
    <w:rPr>
      <w:rFonts w:eastAsia="黑体"/>
      <w:b/>
      <w:bCs/>
      <w:kern w:val="44"/>
      <w:sz w:val="30"/>
      <w:szCs w:val="44"/>
    </w:rPr>
  </w:style>
  <w:style w:type="paragraph" w:styleId="3">
    <w:name w:val="heading 2"/>
    <w:basedOn w:val="1"/>
    <w:next w:val="1"/>
    <w:link w:val="20"/>
    <w:unhideWhenUsed/>
    <w:qFormat/>
    <w:uiPriority w:val="9"/>
    <w:pPr>
      <w:keepNext/>
      <w:keepLines/>
      <w:spacing w:before="240" w:line="240" w:lineRule="auto"/>
      <w:ind w:firstLine="0" w:firstLineChars="0"/>
      <w:outlineLvl w:val="1"/>
    </w:pPr>
    <w:rPr>
      <w:rFonts w:eastAsia="黑体" w:cstheme="majorBidi"/>
      <w:b/>
      <w:bCs/>
      <w:sz w:val="28"/>
      <w:szCs w:val="32"/>
    </w:rPr>
  </w:style>
  <w:style w:type="paragraph" w:styleId="4">
    <w:name w:val="heading 3"/>
    <w:basedOn w:val="1"/>
    <w:next w:val="1"/>
    <w:link w:val="21"/>
    <w:unhideWhenUsed/>
    <w:qFormat/>
    <w:uiPriority w:val="9"/>
    <w:pPr>
      <w:keepNext/>
      <w:keepLines/>
      <w:spacing w:before="120" w:line="240" w:lineRule="auto"/>
      <w:ind w:firstLine="0" w:firstLineChars="0"/>
      <w:outlineLvl w:val="2"/>
    </w:pPr>
    <w:rPr>
      <w:rFonts w:eastAsia="黑体"/>
      <w:b/>
      <w:bCs/>
      <w:szCs w:val="32"/>
    </w:rPr>
  </w:style>
  <w:style w:type="paragraph" w:styleId="5">
    <w:name w:val="heading 4"/>
    <w:basedOn w:val="1"/>
    <w:next w:val="1"/>
    <w:unhideWhenUsed/>
    <w:qFormat/>
    <w:uiPriority w:val="9"/>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character" w:default="1" w:styleId="14">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35"/>
    <w:pPr>
      <w:jc w:val="center"/>
    </w:pPr>
    <w:rPr>
      <w:rFonts w:asciiTheme="majorHAnsi" w:hAnsiTheme="majorHAnsi" w:cstheme="majorBidi"/>
      <w:b/>
      <w:sz w:val="18"/>
      <w:szCs w:val="20"/>
    </w:rPr>
  </w:style>
  <w:style w:type="paragraph" w:styleId="7">
    <w:name w:val="Balloon Text"/>
    <w:basedOn w:val="1"/>
    <w:link w:val="19"/>
    <w:semiHidden/>
    <w:unhideWhenUsed/>
    <w:qFormat/>
    <w:uiPriority w:val="99"/>
    <w:rPr>
      <w:sz w:val="18"/>
      <w:szCs w:val="18"/>
    </w:rPr>
  </w:style>
  <w:style w:type="paragraph" w:styleId="8">
    <w:name w:val="footer"/>
    <w:basedOn w:val="1"/>
    <w:link w:val="18"/>
    <w:unhideWhenUsed/>
    <w:qFormat/>
    <w:uiPriority w:val="99"/>
    <w:pPr>
      <w:tabs>
        <w:tab w:val="center" w:pos="4153"/>
        <w:tab w:val="right" w:pos="8306"/>
      </w:tabs>
      <w:snapToGrid w:val="0"/>
      <w:jc w:val="left"/>
    </w:pPr>
    <w:rPr>
      <w:sz w:val="18"/>
      <w:szCs w:val="18"/>
    </w:rPr>
  </w:style>
  <w:style w:type="paragraph" w:styleId="9">
    <w:name w:val="header"/>
    <w:basedOn w:val="1"/>
    <w:link w:val="17"/>
    <w:unhideWhenUsed/>
    <w:uiPriority w:val="99"/>
    <w:pPr>
      <w:pBdr>
        <w:bottom w:val="single" w:color="auto" w:sz="6" w:space="1"/>
      </w:pBdr>
      <w:tabs>
        <w:tab w:val="center" w:pos="4153"/>
        <w:tab w:val="right" w:pos="8306"/>
      </w:tabs>
      <w:snapToGrid w:val="0"/>
      <w:jc w:val="center"/>
    </w:pPr>
    <w:rPr>
      <w:sz w:val="18"/>
      <w:szCs w:val="18"/>
    </w:rPr>
  </w:style>
  <w:style w:type="paragraph" w:styleId="10">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标题 1 字符"/>
    <w:basedOn w:val="14"/>
    <w:link w:val="2"/>
    <w:uiPriority w:val="9"/>
    <w:rPr>
      <w:rFonts w:ascii="Times New Roman" w:hAnsi="Times New Roman" w:eastAsia="黑体"/>
      <w:b/>
      <w:bCs/>
      <w:kern w:val="44"/>
      <w:sz w:val="30"/>
      <w:szCs w:val="44"/>
    </w:rPr>
  </w:style>
  <w:style w:type="paragraph" w:styleId="16">
    <w:name w:val="List Paragraph"/>
    <w:basedOn w:val="1"/>
    <w:qFormat/>
    <w:uiPriority w:val="34"/>
    <w:pPr>
      <w:ind w:firstLine="420"/>
    </w:pPr>
  </w:style>
  <w:style w:type="character" w:customStyle="1" w:styleId="17">
    <w:name w:val="页眉 字符"/>
    <w:basedOn w:val="14"/>
    <w:link w:val="9"/>
    <w:qFormat/>
    <w:uiPriority w:val="99"/>
    <w:rPr>
      <w:sz w:val="18"/>
      <w:szCs w:val="18"/>
    </w:rPr>
  </w:style>
  <w:style w:type="character" w:customStyle="1" w:styleId="18">
    <w:name w:val="页脚 字符"/>
    <w:basedOn w:val="14"/>
    <w:link w:val="8"/>
    <w:qFormat/>
    <w:uiPriority w:val="99"/>
    <w:rPr>
      <w:sz w:val="18"/>
      <w:szCs w:val="18"/>
    </w:rPr>
  </w:style>
  <w:style w:type="character" w:customStyle="1" w:styleId="19">
    <w:name w:val="批注框文本 字符"/>
    <w:basedOn w:val="14"/>
    <w:link w:val="7"/>
    <w:semiHidden/>
    <w:qFormat/>
    <w:uiPriority w:val="99"/>
    <w:rPr>
      <w:sz w:val="18"/>
      <w:szCs w:val="18"/>
    </w:rPr>
  </w:style>
  <w:style w:type="character" w:customStyle="1" w:styleId="20">
    <w:name w:val="标题 2 字符"/>
    <w:basedOn w:val="14"/>
    <w:link w:val="3"/>
    <w:uiPriority w:val="9"/>
    <w:rPr>
      <w:rFonts w:ascii="Times New Roman" w:hAnsi="Times New Roman" w:eastAsia="黑体" w:cstheme="majorBidi"/>
      <w:b/>
      <w:bCs/>
      <w:sz w:val="28"/>
      <w:szCs w:val="32"/>
    </w:rPr>
  </w:style>
  <w:style w:type="character" w:customStyle="1" w:styleId="21">
    <w:name w:val="标题 3 字符"/>
    <w:basedOn w:val="14"/>
    <w:link w:val="4"/>
    <w:uiPriority w:val="9"/>
    <w:rPr>
      <w:rFonts w:ascii="Times New Roman" w:hAnsi="Times New Roman" w:eastAsia="黑体"/>
      <w:b/>
      <w:bCs/>
      <w:sz w:val="24"/>
      <w:szCs w:val="32"/>
    </w:rPr>
  </w:style>
  <w:style w:type="paragraph" w:customStyle="1" w:styleId="22">
    <w:name w:val="无缩进"/>
    <w:basedOn w:val="1"/>
    <w:link w:val="23"/>
    <w:qFormat/>
    <w:uiPriority w:val="0"/>
    <w:pPr>
      <w:ind w:firstLine="0" w:firstLineChars="0"/>
    </w:pPr>
  </w:style>
  <w:style w:type="character" w:customStyle="1" w:styleId="23">
    <w:name w:val="无缩进 字符"/>
    <w:basedOn w:val="14"/>
    <w:link w:val="22"/>
    <w:uiPriority w:val="0"/>
    <w:rPr>
      <w:rFonts w:ascii="Times New Roman" w:hAnsi="Times New Roman" w:eastAsia="宋体"/>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9" Type="http://schemas.openxmlformats.org/officeDocument/2006/relationships/fontTable" Target="fontTable.xml"/><Relationship Id="rId78" Type="http://schemas.openxmlformats.org/officeDocument/2006/relationships/customXml" Target="../customXml/item1.xml"/><Relationship Id="rId77" Type="http://schemas.openxmlformats.org/officeDocument/2006/relationships/numbering" Target="numbering.xml"/><Relationship Id="rId76" Type="http://schemas.openxmlformats.org/officeDocument/2006/relationships/image" Target="media/image66.jpeg"/><Relationship Id="rId75" Type="http://schemas.openxmlformats.org/officeDocument/2006/relationships/image" Target="media/image65.jpeg"/><Relationship Id="rId74" Type="http://schemas.openxmlformats.org/officeDocument/2006/relationships/image" Target="media/image64.png"/><Relationship Id="rId73" Type="http://schemas.openxmlformats.org/officeDocument/2006/relationships/image" Target="media/image63.png"/><Relationship Id="rId72" Type="http://schemas.openxmlformats.org/officeDocument/2006/relationships/image" Target="media/image62.jpeg"/><Relationship Id="rId71" Type="http://schemas.openxmlformats.org/officeDocument/2006/relationships/image" Target="media/image61.jpeg"/><Relationship Id="rId70" Type="http://schemas.openxmlformats.org/officeDocument/2006/relationships/image" Target="media/image60.jpeg"/><Relationship Id="rId7" Type="http://schemas.openxmlformats.org/officeDocument/2006/relationships/header" Target="header3.xml"/><Relationship Id="rId69" Type="http://schemas.openxmlformats.org/officeDocument/2006/relationships/image" Target="media/image59.jpeg"/><Relationship Id="rId68" Type="http://schemas.openxmlformats.org/officeDocument/2006/relationships/image" Target="media/image58.png"/><Relationship Id="rId67" Type="http://schemas.openxmlformats.org/officeDocument/2006/relationships/image" Target="media/image57.png"/><Relationship Id="rId66" Type="http://schemas.openxmlformats.org/officeDocument/2006/relationships/image" Target="media/image56.jpeg"/><Relationship Id="rId65" Type="http://schemas.openxmlformats.org/officeDocument/2006/relationships/image" Target="media/image55.png"/><Relationship Id="rId64" Type="http://schemas.openxmlformats.org/officeDocument/2006/relationships/image" Target="media/image54.png"/><Relationship Id="rId63" Type="http://schemas.openxmlformats.org/officeDocument/2006/relationships/image" Target="media/image53.png"/><Relationship Id="rId62" Type="http://schemas.openxmlformats.org/officeDocument/2006/relationships/image" Target="media/image52.png"/><Relationship Id="rId61" Type="http://schemas.openxmlformats.org/officeDocument/2006/relationships/image" Target="media/image51.png"/><Relationship Id="rId60" Type="http://schemas.openxmlformats.org/officeDocument/2006/relationships/image" Target="media/image50.png"/><Relationship Id="rId6" Type="http://schemas.openxmlformats.org/officeDocument/2006/relationships/header" Target="header2.xml"/><Relationship Id="rId59" Type="http://schemas.openxmlformats.org/officeDocument/2006/relationships/image" Target="media/image49.png"/><Relationship Id="rId58" Type="http://schemas.openxmlformats.org/officeDocument/2006/relationships/image" Target="media/image48.png"/><Relationship Id="rId57" Type="http://schemas.openxmlformats.org/officeDocument/2006/relationships/image" Target="media/image47.jpeg"/><Relationship Id="rId56" Type="http://schemas.openxmlformats.org/officeDocument/2006/relationships/image" Target="media/image46.png"/><Relationship Id="rId55" Type="http://schemas.openxmlformats.org/officeDocument/2006/relationships/image" Target="media/image45.png"/><Relationship Id="rId54" Type="http://schemas.openxmlformats.org/officeDocument/2006/relationships/image" Target="media/image44.png"/><Relationship Id="rId53" Type="http://schemas.openxmlformats.org/officeDocument/2006/relationships/image" Target="media/image43.png"/><Relationship Id="rId52" Type="http://schemas.openxmlformats.org/officeDocument/2006/relationships/image" Target="media/image42.jpeg"/><Relationship Id="rId51" Type="http://schemas.openxmlformats.org/officeDocument/2006/relationships/image" Target="media/image41.jpeg"/><Relationship Id="rId50" Type="http://schemas.microsoft.com/office/2007/relationships/hdphoto" Target="media/image40.wdp"/><Relationship Id="rId5" Type="http://schemas.openxmlformats.org/officeDocument/2006/relationships/header" Target="header1.xml"/><Relationship Id="rId49" Type="http://schemas.openxmlformats.org/officeDocument/2006/relationships/image" Target="media/image39.png"/><Relationship Id="rId48" Type="http://schemas.microsoft.com/office/2007/relationships/hdphoto" Target="media/image38.wdp"/><Relationship Id="rId47" Type="http://schemas.openxmlformats.org/officeDocument/2006/relationships/image" Target="media/image37.png"/><Relationship Id="rId46" Type="http://schemas.microsoft.com/office/2007/relationships/hdphoto" Target="media/image36.wdp"/><Relationship Id="rId45" Type="http://schemas.openxmlformats.org/officeDocument/2006/relationships/image" Target="media/image35.png"/><Relationship Id="rId44" Type="http://schemas.openxmlformats.org/officeDocument/2006/relationships/image" Target="media/image34.jpe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endnotes" Target="endnotes.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B6250C49-6468-4D1B-B788-B6A10815E451}">
  <ds:schemaRefs/>
</ds:datastoreItem>
</file>

<file path=docProps/app.xml><?xml version="1.0" encoding="utf-8"?>
<Properties xmlns="http://schemas.openxmlformats.org/officeDocument/2006/extended-properties" xmlns:vt="http://schemas.openxmlformats.org/officeDocument/2006/docPropsVTypes">
  <Template>Normal.dotm</Template>
  <Company>PIC</Company>
  <Pages>39</Pages>
  <Words>10454</Words>
  <Characters>16063</Characters>
  <Lines>19</Lines>
  <Paragraphs>5</Paragraphs>
  <TotalTime>18</TotalTime>
  <ScaleCrop>false</ScaleCrop>
  <LinksUpToDate>false</LinksUpToDate>
  <CharactersWithSpaces>16969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2023-10-08T07:25:00Z</dcterms:created>
  <dc:creator>xus</dc:creator>
  <cp:lastModifiedBy>橘生淮南</cp:lastModifiedBy>
  <dcterms:modified xsi:type="dcterms:W3CDTF">2026-07-09T08:24:15Z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(2)X8dbcCsqvgpURFUbnnkA9eQmVHZDCXSPfUhzXhI/Bbly38yyIPHs59lW43lnAYD+k5mFpo+m
GdC63uJoofRnuiWMF1anG5GbQmNsDMUYAI03HnsySEQOmv/Qzn+ouTyAkkijhkZW/XHER1l+
moEa5emgv7eZYgsZaKGpcA0wcMFsPvvCb4qtYIdnm6hI+FcSVmQJtpxmqKVam7fA18ellq0E
dPL9w8lebZO4TJUmR1</vt:lpwstr>
  </property>
  <property fmtid="{D5CDD505-2E9C-101B-9397-08002B2CF9AE}" pid="3" name="_2015_ms_pID_7253431">
    <vt:lpwstr>kQffawXRpB3xLgakC/YkTd/aeB9YBxXpgZPOUQrO6SJ2vg+MXnSiXG
B0OH8WKeePROy2XNDin9F2p9WyjtNgI1Bsle18Oa0v6hm3fFWRdPs8rzFwFfZJ/ZsHBLDv/c
CCpdXYBEl1A9WmNNg0N2SvBvB2HMVD6bsro1a/st7/Aj66B3/gpF9o2qILIDPRJ8sy0=</vt:lpwstr>
  </property>
  <property fmtid="{D5CDD505-2E9C-101B-9397-08002B2CF9AE}" pid="4" name="KSOProductBuildVer">
    <vt:lpwstr>2052-12.1.0.26895</vt:lpwstr>
  </property>
  <property fmtid="{D5CDD505-2E9C-101B-9397-08002B2CF9AE}" pid="5" name="ICV">
    <vt:lpwstr>B50E24A24D484152B3A1BA1569BBD2E0_13</vt:lpwstr>
  </property>
  <property fmtid="{D5CDD505-2E9C-101B-9397-08002B2CF9AE}" pid="6" name="KSOTemplateDocerSaveRecord">
    <vt:lpwstr>eyJoZGlkIjoiOWRkODUzOWM4MTU5ZGI1ZmYyMmE4ZDkzMzQ4MzU1OTYiLCJ1c2VySWQiOiI1NzQwNzQyOTEifQ==</vt:lpwstr>
  </property>
</Properties>
</file>