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812161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14:paraId="51F26310" w14:textId="77777777" w:rsidR="00B526DC" w:rsidRDefault="00B526DC">
          <w:pPr>
            <w:pStyle w:val="TtulodeTDC"/>
          </w:pPr>
          <w:r>
            <w:t>Contenido</w:t>
          </w:r>
        </w:p>
        <w:p w14:paraId="5ACF426A" w14:textId="77777777" w:rsidR="00B526DC" w:rsidRDefault="00B526D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65162671" w:history="1">
            <w:r w:rsidRPr="00E72792">
              <w:rPr>
                <w:rStyle w:val="Hipervnculo"/>
                <w:noProof/>
              </w:rPr>
              <w:t>Reglamento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_Toc265162671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3C209" w14:textId="77777777" w:rsidR="00B526DC" w:rsidRDefault="00B526DC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48A7B1D4" w14:textId="77777777" w:rsidR="00B526DC" w:rsidRDefault="00B526DC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45DF4B2" w14:textId="77777777" w:rsidR="0085153E" w:rsidRDefault="00B526DC" w:rsidP="00B526DC">
      <w:pPr>
        <w:pStyle w:val="Ttulo1"/>
      </w:pPr>
      <w:bookmarkStart w:id="0" w:name="_Toc265162671"/>
      <w:r>
        <w:lastRenderedPageBreak/>
        <w:t>Reglamento</w:t>
      </w:r>
      <w:bookmarkEnd w:id="0"/>
    </w:p>
    <w:p w14:paraId="038132F9" w14:textId="77777777" w:rsidR="00B526DC" w:rsidRPr="00B526DC" w:rsidRDefault="00B526DC" w:rsidP="00B526DC">
      <w:pPr>
        <w:jc w:val="both"/>
        <w:rPr>
          <w:rFonts w:cstheme="minorHAnsi"/>
        </w:rPr>
      </w:pPr>
      <w:r w:rsidRPr="00B526DC">
        <w:rPr>
          <w:rFonts w:cstheme="minorHAnsi"/>
        </w:rPr>
        <w:t>Un trabajo escrito que contenga:</w:t>
      </w:r>
    </w:p>
    <w:p w14:paraId="0E8D39ED" w14:textId="77777777" w:rsidR="00B526DC" w:rsidRPr="00B526DC" w:rsidRDefault="00B526DC" w:rsidP="00B526DC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526DC">
        <w:rPr>
          <w:rFonts w:cstheme="minorHAnsi"/>
        </w:rPr>
        <w:t xml:space="preserve">Una investigación sobre la </w:t>
      </w:r>
      <w:r w:rsidRPr="00B526DC">
        <w:rPr>
          <w:rFonts w:cstheme="minorHAnsi"/>
          <w:i/>
        </w:rPr>
        <w:t>identificación</w:t>
      </w:r>
      <w:r w:rsidRPr="00B526DC">
        <w:rPr>
          <w:rFonts w:cstheme="minorHAnsi"/>
        </w:rPr>
        <w:t xml:space="preserve"> de los riesgos inherentes al Ciclo de Vida del Software, basado en el IEEE </w:t>
      </w:r>
      <w:proofErr w:type="spellStart"/>
      <w:r w:rsidRPr="00B526DC">
        <w:rPr>
          <w:rFonts w:cstheme="minorHAnsi"/>
        </w:rPr>
        <w:t>std</w:t>
      </w:r>
      <w:proofErr w:type="spellEnd"/>
      <w:r w:rsidRPr="00B526DC">
        <w:rPr>
          <w:rFonts w:cstheme="minorHAnsi"/>
        </w:rPr>
        <w:t xml:space="preserve"> 12207:2008, en empresas de </w:t>
      </w:r>
      <w:smartTag w:uri="urn:schemas-microsoft-com:office:smarttags" w:element="PersonName">
        <w:smartTagPr>
          <w:attr w:name="ProductID" w:val="la Industria"/>
        </w:smartTagPr>
        <w:r w:rsidRPr="00B526DC">
          <w:rPr>
            <w:rFonts w:cstheme="minorHAnsi"/>
          </w:rPr>
          <w:t>la Industria</w:t>
        </w:r>
      </w:smartTag>
      <w:r w:rsidRPr="00B526DC">
        <w:rPr>
          <w:rFonts w:cstheme="minorHAnsi"/>
        </w:rPr>
        <w:t xml:space="preserve"> del software en la ciudad de Córdoba.</w:t>
      </w:r>
    </w:p>
    <w:p w14:paraId="5AF3E6CD" w14:textId="77777777" w:rsidR="00B526DC" w:rsidRPr="00B526DC" w:rsidRDefault="00B526DC" w:rsidP="00B526DC">
      <w:pPr>
        <w:jc w:val="both"/>
        <w:rPr>
          <w:rFonts w:cstheme="minorHAnsi"/>
        </w:rPr>
      </w:pPr>
    </w:p>
    <w:p w14:paraId="59EA3F08" w14:textId="77777777" w:rsidR="00B526DC" w:rsidRPr="00B526DC" w:rsidRDefault="00B526DC" w:rsidP="00B526DC">
      <w:pPr>
        <w:jc w:val="both"/>
        <w:rPr>
          <w:rFonts w:cstheme="minorHAnsi"/>
        </w:rPr>
      </w:pPr>
      <w:r w:rsidRPr="00B526DC">
        <w:rPr>
          <w:rFonts w:cstheme="minorHAnsi"/>
        </w:rPr>
        <w:t xml:space="preserve">Una presentación oral cuyo objetivo es “compartir” con los compañeros las experiencias e ideas para la aplicación de la estrategia de riesgos vinculados a la gestión de </w:t>
      </w:r>
      <w:smartTag w:uri="urn:schemas-microsoft-com:office:smarttags" w:element="PersonName">
        <w:smartTagPr>
          <w:attr w:name="ProductID" w:val="LA CALIDAD"/>
        </w:smartTagPr>
        <w:r w:rsidRPr="00B526DC">
          <w:rPr>
            <w:rFonts w:cstheme="minorHAnsi"/>
          </w:rPr>
          <w:t>la Calidad</w:t>
        </w:r>
      </w:smartTag>
      <w:r w:rsidRPr="00B526DC">
        <w:rPr>
          <w:rFonts w:cstheme="minorHAnsi"/>
        </w:rPr>
        <w:t xml:space="preserve"> del Software.</w:t>
      </w:r>
    </w:p>
    <w:p w14:paraId="0A80F9B7" w14:textId="77777777" w:rsidR="00B526DC" w:rsidRPr="00B526DC" w:rsidRDefault="00B526DC" w:rsidP="00B526DC">
      <w:pPr>
        <w:jc w:val="both"/>
        <w:rPr>
          <w:rFonts w:cstheme="minorHAnsi"/>
        </w:rPr>
      </w:pPr>
    </w:p>
    <w:p w14:paraId="10F892DD" w14:textId="77777777" w:rsidR="00B526DC" w:rsidRPr="00B526DC" w:rsidRDefault="00B526DC" w:rsidP="00B526DC">
      <w:pPr>
        <w:jc w:val="both"/>
        <w:rPr>
          <w:rFonts w:cstheme="minorHAnsi"/>
          <w:b/>
          <w:bCs/>
        </w:rPr>
      </w:pPr>
      <w:r w:rsidRPr="00B526DC">
        <w:rPr>
          <w:rFonts w:cstheme="minorHAnsi"/>
          <w:b/>
          <w:bCs/>
        </w:rPr>
        <w:t xml:space="preserve">Fecha de presentación: </w:t>
      </w:r>
      <w:r w:rsidRPr="00B526DC">
        <w:rPr>
          <w:rFonts w:cstheme="minorHAnsi"/>
          <w:bCs/>
        </w:rPr>
        <w:t>25 de junio de 2010.</w:t>
      </w:r>
    </w:p>
    <w:p w14:paraId="2B26D04C" w14:textId="77777777" w:rsidR="00B526DC" w:rsidRPr="00B526DC" w:rsidRDefault="00B526DC" w:rsidP="00B526DC">
      <w:pPr>
        <w:jc w:val="both"/>
        <w:rPr>
          <w:rFonts w:cstheme="minorHAnsi"/>
          <w:b/>
          <w:bCs/>
          <w:lang w:val="pt-BR"/>
        </w:rPr>
      </w:pPr>
      <w:r w:rsidRPr="00B526DC">
        <w:rPr>
          <w:rFonts w:cstheme="minorHAnsi"/>
          <w:b/>
          <w:bCs/>
          <w:lang w:val="pt-BR"/>
        </w:rPr>
        <w:t xml:space="preserve">E-mail de JTP: </w:t>
      </w:r>
      <w:hyperlink r:id="rId7" w:history="1">
        <w:r w:rsidRPr="00B526DC">
          <w:rPr>
            <w:rStyle w:val="Hipervnculo"/>
            <w:rFonts w:cstheme="minorHAnsi"/>
            <w:b/>
            <w:bCs/>
            <w:lang w:val="pt-BR"/>
          </w:rPr>
          <w:t>igimenez@sistemas.frc.utn.edu.ar</w:t>
        </w:r>
      </w:hyperlink>
    </w:p>
    <w:p w14:paraId="0B11CD4D" w14:textId="77777777" w:rsidR="00B526DC" w:rsidRPr="00B526DC" w:rsidRDefault="00B526DC" w:rsidP="00B526DC">
      <w:pPr>
        <w:jc w:val="both"/>
        <w:rPr>
          <w:rFonts w:cstheme="minorHAnsi"/>
          <w:b/>
          <w:bCs/>
        </w:rPr>
      </w:pPr>
      <w:r w:rsidRPr="00B526DC">
        <w:rPr>
          <w:rFonts w:cstheme="minorHAnsi"/>
          <w:b/>
          <w:bCs/>
          <w:lang w:val="pt-BR"/>
        </w:rPr>
        <w:tab/>
      </w:r>
      <w:r w:rsidRPr="00B526DC">
        <w:rPr>
          <w:rFonts w:cstheme="minorHAnsi"/>
          <w:b/>
          <w:bCs/>
          <w:lang w:val="pt-BR"/>
        </w:rPr>
        <w:tab/>
      </w:r>
      <w:r w:rsidRPr="00B526DC">
        <w:rPr>
          <w:rFonts w:cstheme="minorHAnsi"/>
          <w:b/>
          <w:bCs/>
          <w:lang w:val="pt-BR"/>
        </w:rPr>
        <w:tab/>
      </w:r>
      <w:hyperlink r:id="rId8" w:history="1">
        <w:r w:rsidRPr="00B526DC">
          <w:rPr>
            <w:rStyle w:val="Hipervnculo"/>
            <w:rFonts w:cstheme="minorHAnsi"/>
            <w:b/>
            <w:bCs/>
          </w:rPr>
          <w:t>igimenezzens@gmail.com</w:t>
        </w:r>
      </w:hyperlink>
    </w:p>
    <w:p w14:paraId="44FDC6B5" w14:textId="77777777" w:rsidR="00B526DC" w:rsidRPr="00B526DC" w:rsidRDefault="00B526DC" w:rsidP="00B526DC">
      <w:pPr>
        <w:jc w:val="both"/>
        <w:rPr>
          <w:rFonts w:cstheme="minorHAnsi"/>
          <w:b/>
          <w:bCs/>
        </w:rPr>
      </w:pPr>
    </w:p>
    <w:p w14:paraId="56BCEF62" w14:textId="77777777" w:rsidR="00B526DC" w:rsidRPr="00B526DC" w:rsidRDefault="00B526DC" w:rsidP="00B526DC">
      <w:pPr>
        <w:jc w:val="both"/>
        <w:rPr>
          <w:rFonts w:cstheme="minorHAnsi"/>
        </w:rPr>
      </w:pPr>
      <w:r w:rsidRPr="00B526DC">
        <w:rPr>
          <w:rFonts w:cstheme="minorHAnsi"/>
        </w:rPr>
        <w:t xml:space="preserve">La materia puede promocionarse si el alumno obtiene promedio de 7 (siete) y ninguna nota menos de 7 (siete) en los tres trabajos prácticos y el parcial del teórico. </w:t>
      </w:r>
    </w:p>
    <w:p w14:paraId="29387671" w14:textId="77777777" w:rsidR="00B526DC" w:rsidRPr="00B526DC" w:rsidRDefault="00B526DC" w:rsidP="00B526DC">
      <w:pPr>
        <w:jc w:val="both"/>
        <w:rPr>
          <w:rFonts w:cstheme="minorHAnsi"/>
        </w:rPr>
      </w:pPr>
    </w:p>
    <w:p w14:paraId="76249FD8" w14:textId="77777777" w:rsidR="00B526DC" w:rsidRDefault="00B526DC" w:rsidP="00B526DC">
      <w:pPr>
        <w:jc w:val="both"/>
        <w:rPr>
          <w:rFonts w:cstheme="minorHAnsi"/>
        </w:rPr>
      </w:pPr>
      <w:r w:rsidRPr="00B526DC">
        <w:rPr>
          <w:rFonts w:cstheme="minorHAnsi"/>
        </w:rPr>
        <w:t>En caso de no promocionar, el alumno deberá rendir la totalidad de la materia con las siguientes condiciones reglamentarias:</w:t>
      </w:r>
    </w:p>
    <w:p w14:paraId="761516A7" w14:textId="77777777" w:rsidR="00B526DC" w:rsidRPr="00B526DC" w:rsidRDefault="00B526DC" w:rsidP="00B526DC">
      <w:pPr>
        <w:jc w:val="both"/>
        <w:rPr>
          <w:rFonts w:cstheme="minorHAnsi"/>
          <w:b/>
        </w:rPr>
      </w:pPr>
      <w:r w:rsidRPr="00B526DC">
        <w:rPr>
          <w:rFonts w:cstheme="minorHAnsi"/>
          <w:b/>
        </w:rPr>
        <w:t>Examen práctico final</w:t>
      </w:r>
    </w:p>
    <w:p w14:paraId="2213082B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>El examen final es oral y consta de dos partes: práctica y teórica.</w:t>
      </w:r>
    </w:p>
    <w:p w14:paraId="4F2D2B11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 xml:space="preserve">El alumno debe rendir práctico y teórico </w:t>
      </w:r>
      <w:r w:rsidRPr="00B526DC">
        <w:rPr>
          <w:rFonts w:cstheme="minorHAnsi"/>
          <w:i/>
          <w:iCs/>
        </w:rPr>
        <w:t>en el mismo</w:t>
      </w:r>
      <w:r w:rsidRPr="00B526DC">
        <w:rPr>
          <w:rFonts w:cstheme="minorHAnsi"/>
        </w:rPr>
        <w:t xml:space="preserve"> turno.</w:t>
      </w:r>
    </w:p>
    <w:p w14:paraId="12DA1607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>El alumno puede rendir la parte práctica en forma individual o grupal.</w:t>
      </w:r>
    </w:p>
    <w:p w14:paraId="538BBEC4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>La parte teórica siempre debe rendirse en forma individual.</w:t>
      </w:r>
    </w:p>
    <w:p w14:paraId="33225632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>El alumno debe presentarse con la carpeta, en papel, de Trabajos Prácticos aprobados. No podrá rendir sin los trabajos prácticos.</w:t>
      </w:r>
    </w:p>
    <w:p w14:paraId="475192B5" w14:textId="77777777" w:rsidR="00B526DC" w:rsidRPr="00B526DC" w:rsidRDefault="00B526DC" w:rsidP="00B526DC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526DC">
        <w:rPr>
          <w:rFonts w:cstheme="minorHAnsi"/>
        </w:rPr>
        <w:t>El alumno será evaluado en los temas de los trabajos prácticos de manera oral y basándose en los trabajos realizados en el año.</w:t>
      </w:r>
    </w:p>
    <w:p w14:paraId="1F75FBBA" w14:textId="77777777" w:rsidR="00B526DC" w:rsidRDefault="00B526DC">
      <w:r>
        <w:br w:type="page"/>
      </w:r>
    </w:p>
    <w:p w14:paraId="0C46DD79" w14:textId="77777777" w:rsidR="00B526DC" w:rsidRDefault="00B526DC" w:rsidP="00B526DC">
      <w:pPr>
        <w:pStyle w:val="Ttulo1"/>
      </w:pPr>
      <w:r w:rsidRPr="00B526DC">
        <w:lastRenderedPageBreak/>
        <w:t>Identificación de los riesgos inherentes al Ciclo de Vida del Software</w:t>
      </w:r>
      <w:r>
        <w:t xml:space="preserve"> </w:t>
      </w:r>
      <w:r w:rsidRPr="00B526DC">
        <w:t xml:space="preserve">(basado en el IEEE </w:t>
      </w:r>
      <w:proofErr w:type="spellStart"/>
      <w:r w:rsidRPr="00B526DC">
        <w:t>std</w:t>
      </w:r>
      <w:proofErr w:type="spellEnd"/>
      <w:r w:rsidRPr="00B526DC">
        <w:t xml:space="preserve"> 12207:2008)</w:t>
      </w:r>
    </w:p>
    <w:p w14:paraId="15AB28B3" w14:textId="77777777" w:rsidR="00B526DC" w:rsidRDefault="00B526DC" w:rsidP="00B526DC">
      <w:pPr>
        <w:jc w:val="both"/>
        <w:rPr>
          <w:u w:val="single"/>
        </w:rPr>
      </w:pPr>
      <w:r>
        <w:rPr>
          <w:u w:val="single"/>
        </w:rPr>
        <w:t xml:space="preserve"> </w:t>
      </w:r>
    </w:p>
    <w:p w14:paraId="62452847" w14:textId="77777777" w:rsidR="00B526DC" w:rsidRPr="00CC122D" w:rsidRDefault="00B526DC" w:rsidP="00B526DC">
      <w:pPr>
        <w:pStyle w:val="Prrafodelista"/>
        <w:numPr>
          <w:ilvl w:val="0"/>
          <w:numId w:val="4"/>
        </w:numPr>
        <w:jc w:val="both"/>
      </w:pPr>
      <w:r w:rsidRPr="00CC122D">
        <w:t>Proceso de ciclo de vida del sistema</w:t>
      </w:r>
    </w:p>
    <w:p w14:paraId="1227100D" w14:textId="77777777" w:rsidR="00B526DC" w:rsidRPr="00CC122D" w:rsidRDefault="00CC122D" w:rsidP="00CC122D">
      <w:pPr>
        <w:pStyle w:val="Prrafodelista"/>
        <w:numPr>
          <w:ilvl w:val="1"/>
          <w:numId w:val="4"/>
        </w:numPr>
        <w:tabs>
          <w:tab w:val="left" w:pos="426"/>
        </w:tabs>
        <w:ind w:left="284" w:hanging="284"/>
        <w:jc w:val="both"/>
      </w:pPr>
      <w:r>
        <w:t>Acuerdo de procesos</w:t>
      </w:r>
    </w:p>
    <w:p w14:paraId="7F9F778B" w14:textId="77777777" w:rsidR="00CC122D" w:rsidRPr="00CC122D" w:rsidRDefault="00CC122D" w:rsidP="00CC122D">
      <w:pPr>
        <w:pStyle w:val="Prrafodelista"/>
        <w:numPr>
          <w:ilvl w:val="2"/>
          <w:numId w:val="4"/>
        </w:numPr>
        <w:ind w:left="567" w:hanging="567"/>
        <w:jc w:val="both"/>
        <w:rPr>
          <w:u w:val="single"/>
        </w:rPr>
      </w:pPr>
      <w:r>
        <w:t>Proceso de Adquisición</w:t>
      </w:r>
    </w:p>
    <w:p w14:paraId="23BA11E0" w14:textId="77777777" w:rsidR="00CC122D" w:rsidRPr="00CC122D" w:rsidRDefault="00CC122D" w:rsidP="00CC122D">
      <w:pPr>
        <w:tabs>
          <w:tab w:val="left" w:pos="1843"/>
          <w:tab w:val="left" w:pos="2127"/>
        </w:tabs>
        <w:jc w:val="both"/>
        <w:rPr>
          <w:u w:val="single"/>
        </w:rPr>
      </w:pPr>
      <w:r>
        <w:t>Propósito</w:t>
      </w:r>
    </w:p>
    <w:p w14:paraId="344C73F3" w14:textId="77777777" w:rsidR="00CC122D" w:rsidRPr="003304BE" w:rsidRDefault="00CC122D" w:rsidP="00CC122D">
      <w:pPr>
        <w:tabs>
          <w:tab w:val="left" w:pos="1843"/>
          <w:tab w:val="left" w:pos="2127"/>
        </w:tabs>
        <w:jc w:val="both"/>
        <w:rPr>
          <w:i/>
        </w:rPr>
      </w:pPr>
      <w:r w:rsidRPr="003304BE">
        <w:rPr>
          <w:i/>
        </w:rPr>
        <w:t>El propósito del Proceso de Adquisición</w:t>
      </w:r>
      <w:r w:rsidR="00C92A04" w:rsidRPr="003304BE">
        <w:rPr>
          <w:i/>
        </w:rPr>
        <w:t xml:space="preserve"> es obtener un producto y/o servicio que satisfaga las necesidades expresadas por el adquiriente. El proceso comienza con la identificación de las necesidades del cliente y termina con la aceptación del producto y/o servicio necesitado por el adquiriente.</w:t>
      </w:r>
    </w:p>
    <w:p w14:paraId="7409063E" w14:textId="77777777" w:rsidR="00C92A04" w:rsidRPr="003304BE" w:rsidRDefault="00C92A04" w:rsidP="00CC122D">
      <w:pPr>
        <w:tabs>
          <w:tab w:val="left" w:pos="1843"/>
          <w:tab w:val="left" w:pos="2127"/>
        </w:tabs>
        <w:jc w:val="both"/>
        <w:rPr>
          <w:color w:val="FF0000"/>
        </w:rPr>
      </w:pPr>
      <w:r>
        <w:t>Riesgos</w:t>
      </w:r>
    </w:p>
    <w:p w14:paraId="194177FB" w14:textId="77777777" w:rsidR="00C92A04" w:rsidRDefault="003304BE" w:rsidP="00CC122D">
      <w:pPr>
        <w:tabs>
          <w:tab w:val="left" w:pos="1843"/>
          <w:tab w:val="left" w:pos="2127"/>
        </w:tabs>
        <w:jc w:val="both"/>
        <w:rPr>
          <w:color w:val="FF0000"/>
        </w:rPr>
      </w:pPr>
      <w:r w:rsidRPr="003304BE">
        <w:rPr>
          <w:color w:val="FF0000"/>
        </w:rPr>
        <w:t>//TODO</w:t>
      </w:r>
    </w:p>
    <w:p w14:paraId="7FA48A9B" w14:textId="77777777" w:rsidR="003304BE" w:rsidRDefault="003304BE" w:rsidP="003304BE">
      <w:pPr>
        <w:pStyle w:val="Prrafodelista"/>
        <w:numPr>
          <w:ilvl w:val="2"/>
          <w:numId w:val="4"/>
        </w:numPr>
        <w:tabs>
          <w:tab w:val="left" w:pos="0"/>
          <w:tab w:val="left" w:pos="284"/>
          <w:tab w:val="left" w:pos="567"/>
          <w:tab w:val="left" w:pos="993"/>
        </w:tabs>
        <w:ind w:left="0" w:firstLine="0"/>
        <w:jc w:val="both"/>
        <w:rPr>
          <w:color w:val="000000"/>
        </w:rPr>
      </w:pPr>
      <w:r w:rsidRPr="003304BE">
        <w:rPr>
          <w:color w:val="000000"/>
        </w:rPr>
        <w:t>Proceso de Suministro</w:t>
      </w:r>
    </w:p>
    <w:p w14:paraId="666665E0" w14:textId="77777777" w:rsidR="003304BE" w:rsidRDefault="003304BE" w:rsidP="003304BE">
      <w:pPr>
        <w:tabs>
          <w:tab w:val="left" w:pos="1843"/>
          <w:tab w:val="left" w:pos="2127"/>
        </w:tabs>
        <w:jc w:val="both"/>
      </w:pPr>
      <w:r>
        <w:t>Propósito</w:t>
      </w:r>
    </w:p>
    <w:p w14:paraId="015F2F1A" w14:textId="77777777" w:rsidR="003304BE" w:rsidRPr="003304BE" w:rsidRDefault="003304BE" w:rsidP="003304BE">
      <w:pPr>
        <w:jc w:val="both"/>
        <w:rPr>
          <w:i/>
        </w:rPr>
      </w:pPr>
      <w:r w:rsidRPr="003304BE">
        <w:rPr>
          <w:i/>
        </w:rPr>
        <w:t>El propósito del proceso de suministro es el de entregar un producto o servicio al adquiriente que cumpla con el convenio de requerimientos.</w:t>
      </w:r>
    </w:p>
    <w:p w14:paraId="3B9E9B10" w14:textId="77777777" w:rsidR="003304BE" w:rsidRPr="003304BE" w:rsidRDefault="003304BE" w:rsidP="003304BE">
      <w:pPr>
        <w:jc w:val="both"/>
        <w:rPr>
          <w:i/>
        </w:rPr>
      </w:pPr>
    </w:p>
    <w:p w14:paraId="4EAF8B81" w14:textId="77777777" w:rsidR="003304BE" w:rsidRDefault="003304BE" w:rsidP="003304BE">
      <w:pPr>
        <w:jc w:val="both"/>
      </w:pPr>
      <w:r>
        <w:t>Riesgos</w:t>
      </w:r>
    </w:p>
    <w:p w14:paraId="3F87BF3C" w14:textId="77777777" w:rsidR="003304BE" w:rsidRDefault="003304BE" w:rsidP="003304BE">
      <w:pPr>
        <w:jc w:val="both"/>
      </w:pPr>
    </w:p>
    <w:p w14:paraId="55C045CD" w14:textId="77777777" w:rsidR="003304BE" w:rsidRPr="003304BE" w:rsidRDefault="003304BE" w:rsidP="003304BE">
      <w:pPr>
        <w:jc w:val="both"/>
        <w:rPr>
          <w:color w:val="FF0000"/>
        </w:rPr>
      </w:pPr>
      <w:r w:rsidRPr="003304BE">
        <w:rPr>
          <w:color w:val="FF0000"/>
        </w:rPr>
        <w:t>//TODO</w:t>
      </w:r>
    </w:p>
    <w:p w14:paraId="4C429D9E" w14:textId="77777777" w:rsidR="003304BE" w:rsidRPr="003304BE" w:rsidRDefault="003304BE" w:rsidP="003304BE">
      <w:pPr>
        <w:jc w:val="both"/>
        <w:rPr>
          <w:color w:val="000000"/>
        </w:rPr>
      </w:pPr>
    </w:p>
    <w:p w14:paraId="32A58F90" w14:textId="77777777" w:rsidR="003304BE" w:rsidRDefault="003304BE" w:rsidP="003304BE">
      <w:pPr>
        <w:pStyle w:val="Prrafodelista"/>
        <w:tabs>
          <w:tab w:val="left" w:pos="0"/>
          <w:tab w:val="left" w:pos="284"/>
          <w:tab w:val="left" w:pos="567"/>
          <w:tab w:val="left" w:pos="993"/>
        </w:tabs>
        <w:ind w:left="0"/>
        <w:jc w:val="both"/>
        <w:rPr>
          <w:color w:val="000000"/>
        </w:rPr>
      </w:pPr>
    </w:p>
    <w:p w14:paraId="14816700" w14:textId="77777777" w:rsidR="003304BE" w:rsidRDefault="003304BE" w:rsidP="003304BE">
      <w:pPr>
        <w:pStyle w:val="Prrafodelista"/>
        <w:numPr>
          <w:ilvl w:val="1"/>
          <w:numId w:val="4"/>
        </w:numPr>
        <w:tabs>
          <w:tab w:val="left" w:pos="0"/>
          <w:tab w:val="left" w:pos="284"/>
          <w:tab w:val="left" w:pos="567"/>
          <w:tab w:val="left" w:pos="993"/>
        </w:tabs>
        <w:jc w:val="both"/>
        <w:rPr>
          <w:color w:val="000000"/>
        </w:rPr>
      </w:pPr>
      <w:r>
        <w:rPr>
          <w:color w:val="000000"/>
        </w:rPr>
        <w:t>Procesos en la organización del proyecto de habilitación</w:t>
      </w:r>
    </w:p>
    <w:p w14:paraId="43591CC1" w14:textId="77777777" w:rsidR="003304BE" w:rsidRDefault="003304BE" w:rsidP="003304BE">
      <w:pPr>
        <w:pStyle w:val="Prrafodelista"/>
        <w:numPr>
          <w:ilvl w:val="2"/>
          <w:numId w:val="4"/>
        </w:numPr>
        <w:tabs>
          <w:tab w:val="left" w:pos="0"/>
          <w:tab w:val="left" w:pos="284"/>
          <w:tab w:val="left" w:pos="567"/>
          <w:tab w:val="left" w:pos="993"/>
        </w:tabs>
        <w:ind w:hanging="1224"/>
        <w:jc w:val="both"/>
        <w:rPr>
          <w:color w:val="000000"/>
        </w:rPr>
      </w:pPr>
      <w:r>
        <w:rPr>
          <w:color w:val="000000"/>
        </w:rPr>
        <w:t>Ciclo de vida del modelo de proceso de gestión</w:t>
      </w:r>
    </w:p>
    <w:p w14:paraId="4CB0E2F7" w14:textId="77777777" w:rsidR="003304BE" w:rsidRDefault="003304BE" w:rsidP="003304BE">
      <w:pPr>
        <w:tabs>
          <w:tab w:val="left" w:pos="0"/>
          <w:tab w:val="left" w:pos="284"/>
          <w:tab w:val="left" w:pos="567"/>
          <w:tab w:val="left" w:pos="993"/>
        </w:tabs>
        <w:jc w:val="both"/>
        <w:rPr>
          <w:color w:val="000000"/>
        </w:rPr>
      </w:pPr>
      <w:r>
        <w:rPr>
          <w:color w:val="000000"/>
        </w:rPr>
        <w:t>Propósito</w:t>
      </w:r>
    </w:p>
    <w:p w14:paraId="3900092E" w14:textId="77777777" w:rsidR="00A55613" w:rsidRPr="00A55613" w:rsidRDefault="00A55613" w:rsidP="00A55613">
      <w:pPr>
        <w:pStyle w:val="Prrafodelista"/>
        <w:ind w:left="0"/>
        <w:jc w:val="both"/>
        <w:rPr>
          <w:i/>
        </w:rPr>
      </w:pPr>
      <w:r w:rsidRPr="00A55613">
        <w:rPr>
          <w:i/>
        </w:rPr>
        <w:t xml:space="preserve">El propósito de la </w:t>
      </w:r>
      <w:r>
        <w:rPr>
          <w:i/>
        </w:rPr>
        <w:t>gestión</w:t>
      </w:r>
      <w:r w:rsidRPr="00A55613">
        <w:rPr>
          <w:i/>
        </w:rPr>
        <w:t xml:space="preserve"> del modelo de ci</w:t>
      </w:r>
      <w:r>
        <w:rPr>
          <w:i/>
        </w:rPr>
        <w:t>clo de vida es</w:t>
      </w:r>
      <w:r w:rsidRPr="00A55613">
        <w:rPr>
          <w:i/>
        </w:rPr>
        <w:t xml:space="preserve"> definir, mantener y asegurar la disponibilidad de las políticas, procesos del ciclo de vida, modelo del ciclo de vida y procedimientos </w:t>
      </w:r>
      <w:r>
        <w:rPr>
          <w:i/>
        </w:rPr>
        <w:t>a</w:t>
      </w:r>
      <w:r w:rsidRPr="00A55613">
        <w:rPr>
          <w:i/>
        </w:rPr>
        <w:t xml:space="preserve"> ser utilizados por la organización </w:t>
      </w:r>
      <w:r>
        <w:rPr>
          <w:i/>
        </w:rPr>
        <w:t xml:space="preserve">con respecto </w:t>
      </w:r>
      <w:r w:rsidRPr="00A55613">
        <w:rPr>
          <w:i/>
        </w:rPr>
        <w:t xml:space="preserve">al </w:t>
      </w:r>
      <w:r>
        <w:rPr>
          <w:i/>
        </w:rPr>
        <w:t>alcance</w:t>
      </w:r>
      <w:r w:rsidRPr="00A55613">
        <w:rPr>
          <w:i/>
        </w:rPr>
        <w:t xml:space="preserve"> de este estándar internacional.</w:t>
      </w:r>
    </w:p>
    <w:p w14:paraId="516CEF52" w14:textId="77777777" w:rsidR="00A55613" w:rsidRDefault="00A55613" w:rsidP="00A55613">
      <w:pPr>
        <w:pStyle w:val="Prrafodelista"/>
        <w:ind w:left="0"/>
        <w:jc w:val="both"/>
        <w:rPr>
          <w:i/>
        </w:rPr>
      </w:pPr>
      <w:r w:rsidRPr="00A55613">
        <w:rPr>
          <w:i/>
        </w:rPr>
        <w:tab/>
        <w:t>Este proceso provee de políticas del ciclo de vida, procesos y procedimientos que son consistentes con los objetivos de la organización</w:t>
      </w:r>
      <w:r>
        <w:rPr>
          <w:i/>
        </w:rPr>
        <w:t>,</w:t>
      </w:r>
      <w:r w:rsidRPr="00A55613">
        <w:rPr>
          <w:i/>
        </w:rPr>
        <w:t xml:space="preserve"> los cuales son definidos, adaptados, mejorados y mantenidos para dar s</w:t>
      </w:r>
      <w:r>
        <w:rPr>
          <w:i/>
        </w:rPr>
        <w:t>oporte a las necesidades de</w:t>
      </w:r>
      <w:r w:rsidRPr="00A55613">
        <w:rPr>
          <w:i/>
        </w:rPr>
        <w:t xml:space="preserve"> proyecto</w:t>
      </w:r>
      <w:r>
        <w:rPr>
          <w:i/>
        </w:rPr>
        <w:t>s</w:t>
      </w:r>
      <w:r w:rsidRPr="00A55613">
        <w:rPr>
          <w:i/>
        </w:rPr>
        <w:t xml:space="preserve"> individual</w:t>
      </w:r>
      <w:r>
        <w:rPr>
          <w:i/>
        </w:rPr>
        <w:t>es</w:t>
      </w:r>
      <w:r w:rsidRPr="00A55613">
        <w:rPr>
          <w:i/>
        </w:rPr>
        <w:t xml:space="preserve"> dentro </w:t>
      </w:r>
      <w:r w:rsidRPr="00A55613">
        <w:rPr>
          <w:i/>
        </w:rPr>
        <w:lastRenderedPageBreak/>
        <w:t>de</w:t>
      </w:r>
      <w:r>
        <w:rPr>
          <w:i/>
        </w:rPr>
        <w:t>l contexto de</w:t>
      </w:r>
      <w:r w:rsidRPr="00A55613">
        <w:rPr>
          <w:i/>
        </w:rPr>
        <w:t xml:space="preserve"> la organización, y  que son capaces de ser aplicados utilizando  métodos y herramientas efectivas y probadas.</w:t>
      </w:r>
    </w:p>
    <w:p w14:paraId="5B25ECD0" w14:textId="77777777" w:rsidR="00A55613" w:rsidRDefault="00A55613" w:rsidP="00A55613">
      <w:pPr>
        <w:pStyle w:val="Prrafodelista"/>
        <w:ind w:left="0"/>
        <w:jc w:val="both"/>
        <w:rPr>
          <w:i/>
        </w:rPr>
      </w:pPr>
    </w:p>
    <w:p w14:paraId="58FAC11A" w14:textId="77777777" w:rsidR="00A55613" w:rsidRDefault="00A55613" w:rsidP="00A55613">
      <w:pPr>
        <w:pStyle w:val="Prrafodelista"/>
        <w:ind w:left="0"/>
        <w:jc w:val="both"/>
      </w:pPr>
      <w:r>
        <w:t>Riesgos</w:t>
      </w:r>
    </w:p>
    <w:p w14:paraId="26CEDE9C" w14:textId="77777777" w:rsidR="00A55613" w:rsidRPr="00A55613" w:rsidRDefault="00A55613" w:rsidP="00A55613">
      <w:pPr>
        <w:pStyle w:val="Prrafodelista"/>
        <w:ind w:left="0"/>
        <w:jc w:val="both"/>
        <w:rPr>
          <w:color w:val="FF0000"/>
        </w:rPr>
      </w:pPr>
      <w:bookmarkStart w:id="1" w:name="_GoBack"/>
      <w:r w:rsidRPr="00A55613">
        <w:rPr>
          <w:color w:val="FF0000"/>
        </w:rPr>
        <w:t>//TODO</w:t>
      </w:r>
    </w:p>
    <w:bookmarkEnd w:id="1"/>
    <w:p w14:paraId="693ECA2E" w14:textId="77777777" w:rsidR="003304BE" w:rsidRPr="003304BE" w:rsidRDefault="003304BE" w:rsidP="003304BE">
      <w:pPr>
        <w:tabs>
          <w:tab w:val="left" w:pos="0"/>
          <w:tab w:val="left" w:pos="284"/>
          <w:tab w:val="left" w:pos="567"/>
          <w:tab w:val="left" w:pos="993"/>
        </w:tabs>
        <w:jc w:val="both"/>
        <w:rPr>
          <w:color w:val="000000"/>
        </w:rPr>
      </w:pPr>
    </w:p>
    <w:p w14:paraId="28DF39CD" w14:textId="77777777" w:rsidR="003304BE" w:rsidRDefault="003304BE" w:rsidP="003304BE">
      <w:pPr>
        <w:pStyle w:val="Prrafodelista"/>
        <w:ind w:left="0"/>
        <w:jc w:val="both"/>
        <w:rPr>
          <w:color w:val="000000"/>
        </w:rPr>
      </w:pPr>
    </w:p>
    <w:p w14:paraId="16B94751" w14:textId="77777777" w:rsidR="003304BE" w:rsidRPr="003304BE" w:rsidRDefault="003304BE" w:rsidP="003304BE">
      <w:pPr>
        <w:pStyle w:val="Prrafodelista"/>
        <w:ind w:left="0"/>
        <w:jc w:val="both"/>
        <w:rPr>
          <w:color w:val="000000"/>
        </w:rPr>
      </w:pPr>
    </w:p>
    <w:p w14:paraId="5CF199BC" w14:textId="77777777" w:rsidR="003304BE" w:rsidRDefault="003304BE" w:rsidP="00C92A04">
      <w:pPr>
        <w:pStyle w:val="Prrafodelista"/>
        <w:ind w:left="0" w:firstLine="708"/>
        <w:jc w:val="both"/>
      </w:pPr>
    </w:p>
    <w:p w14:paraId="3BA39AB0" w14:textId="77777777" w:rsidR="003304BE" w:rsidRPr="003304BE" w:rsidRDefault="003304BE" w:rsidP="00C92A04">
      <w:pPr>
        <w:pStyle w:val="Prrafodelista"/>
        <w:ind w:left="0" w:firstLine="708"/>
        <w:jc w:val="both"/>
      </w:pPr>
    </w:p>
    <w:p w14:paraId="0E72202A" w14:textId="77777777" w:rsidR="00C92A04" w:rsidRDefault="00C92A04" w:rsidP="00CC122D">
      <w:pPr>
        <w:tabs>
          <w:tab w:val="left" w:pos="1843"/>
          <w:tab w:val="left" w:pos="2127"/>
        </w:tabs>
        <w:jc w:val="both"/>
      </w:pPr>
    </w:p>
    <w:p w14:paraId="4B48B703" w14:textId="77777777" w:rsidR="00C92A04" w:rsidRPr="00CC122D" w:rsidRDefault="00C92A04" w:rsidP="00CC122D">
      <w:pPr>
        <w:tabs>
          <w:tab w:val="left" w:pos="1843"/>
          <w:tab w:val="left" w:pos="2127"/>
        </w:tabs>
        <w:jc w:val="both"/>
      </w:pPr>
    </w:p>
    <w:p w14:paraId="3FA1BA11" w14:textId="77777777" w:rsidR="00B526DC" w:rsidRDefault="00B526DC" w:rsidP="00B526DC">
      <w:pPr>
        <w:jc w:val="both"/>
        <w:rPr>
          <w:u w:val="single"/>
        </w:rPr>
      </w:pPr>
    </w:p>
    <w:p w14:paraId="3A6BFF0F" w14:textId="77777777" w:rsidR="00B526DC" w:rsidRDefault="00B526DC" w:rsidP="00B526DC"/>
    <w:p w14:paraId="5C24B6F8" w14:textId="77777777" w:rsidR="00B526DC" w:rsidRPr="00B526DC" w:rsidRDefault="00B526DC" w:rsidP="00B526DC"/>
    <w:p w14:paraId="078C1DBE" w14:textId="77777777" w:rsidR="00B526DC" w:rsidRPr="00B526DC" w:rsidRDefault="00B526DC" w:rsidP="00B526DC"/>
    <w:sectPr w:rsidR="00B526DC" w:rsidRPr="00B52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7225E"/>
    <w:multiLevelType w:val="hybridMultilevel"/>
    <w:tmpl w:val="4E72DD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31BA8"/>
    <w:multiLevelType w:val="hybridMultilevel"/>
    <w:tmpl w:val="4B6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DA10495"/>
    <w:multiLevelType w:val="hybridMultilevel"/>
    <w:tmpl w:val="FD30C2B0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6D211E"/>
    <w:multiLevelType w:val="multilevel"/>
    <w:tmpl w:val="5DE0D0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A241597"/>
    <w:multiLevelType w:val="singleLevel"/>
    <w:tmpl w:val="BBF2ED7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7CB037D9"/>
    <w:multiLevelType w:val="multilevel"/>
    <w:tmpl w:val="705CF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DC"/>
    <w:rsid w:val="003304BE"/>
    <w:rsid w:val="006456F9"/>
    <w:rsid w:val="00A55613"/>
    <w:rsid w:val="00B526DC"/>
    <w:rsid w:val="00C92A04"/>
    <w:rsid w:val="00CC122D"/>
    <w:rsid w:val="00F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4D27A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6D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Hipervnculo">
    <w:name w:val="Hyperlink"/>
    <w:uiPriority w:val="99"/>
    <w:rsid w:val="00B526D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26DC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26DC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6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B52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2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6D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styleId="Hipervnculo">
    <w:name w:val="Hyperlink"/>
    <w:uiPriority w:val="99"/>
    <w:rsid w:val="00B526DC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26DC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B526DC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2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6D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B5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gimenezzen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igimenez@sistemas.frc.utn.edu.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FBAD7-0F00-4379-B523-C32998C2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antopiscio</dc:creator>
  <cp:keywords/>
  <dc:description/>
  <cp:lastModifiedBy>antopiscio</cp:lastModifiedBy>
  <cp:revision>2</cp:revision>
  <dcterms:created xsi:type="dcterms:W3CDTF">2010-06-24T20:06:00Z</dcterms:created>
  <dcterms:modified xsi:type="dcterms:W3CDTF">2010-06-24T21:03:00Z</dcterms:modified>
</cp:coreProperties>
</file>