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Procedere con lo sviluppo dei Worker in PHP o espandere gli schemi in Node.js sono due direzioni parimenti valide in questa fase ingegneristica. Valutiamo i pro e i contro di entrambe le strade.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Opzione 1: Strutturare i Worker Esecutivi in PHP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Questa strada completa il ciclo di vita del Grafo. Copre il passaggio del nodo dallo stato VALIDATED allo stato RUNNING e, infine, SUCCESS o FAILED.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Dimostra il layer di isolamento fisico. Definisce come il codice aziendale consuma il payload JSON sicuro, sfruttando design pattern (come lo Strategy Pattern) per impedire qualsiasi esecuzione arbitraria di codice.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Contro:</w:t>
      </w:r>
      <w:r w:rsidDel="00000000" w:rsidR="00000000" w:rsidRPr="00000000">
        <w:rPr>
          <w:rtl w:val="0"/>
        </w:rPr>
        <w:t xml:space="preserve"> Sposta il focus dall'infrastruttura di controllo dell'IA all'implementazione tecnica delle dipendenze di sistema (come client HTTP o driver PDO).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si sceglie questa opzione, il nucleo sarà un'interfaccia rigorosa che ogni Worker deve implementare, garantendo che l'output ritorni sempre sotto forma di Delta di contesto strutturato per l'LLM: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interface NodeWorkerInterface {</w:t>
        <w:br w:type="textWrapping"/>
        <w:t xml:space="preserve">    /**</w:t>
        <w:br w:type="textWrapping"/>
        <w:t xml:space="preserve">     * @param array $payload Il payload già validato da Node.js</w:t>
        <w:br w:type="textWrapping"/>
        <w:t xml:space="preserve">     * @return array Il risultato dell'esecuzione da trasformare in State Delta</w:t>
        <w:br w:type="textWrapping"/>
        <w:t xml:space="preserve">     */</w:t>
        <w:br w:type="textWrapping"/>
        <w:t xml:space="preserve">    public function execute(array $payload): array;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Opzione 2: Espandere il "Vocabolario" (Schemi in Node.js)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Questa opzione implica la mappatura di ulteriori primitive operative (es. SEND_EMAIL, AWS_LAMBDA_INVOKE, PARSE_CSV).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Aumenta le capacità orchestrali dell'IA, fornendo un set di strumenti più ampio e coprendo i casi d'uso più comuni nelle automazioni aziendali.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Contro:</w:t>
      </w:r>
      <w:r w:rsidDel="00000000" w:rsidR="00000000" w:rsidRPr="00000000">
        <w:rPr>
          <w:rtl w:val="0"/>
        </w:rPr>
        <w:t xml:space="preserve"> Architetturalmente ripetitivo. Avendo già blindato il pattern di </w:t>
      </w:r>
      <w:r w:rsidDel="00000000" w:rsidR="00000000" w:rsidRPr="00000000">
        <w:rPr>
          <w:i w:val="1"/>
          <w:iCs w:val="1"/>
          <w:rtl w:val="0"/>
        </w:rPr>
        <w:t xml:space="preserve">State Context Injection</w:t>
      </w:r>
      <w:r w:rsidDel="00000000" w:rsidR="00000000" w:rsidRPr="00000000">
        <w:rPr>
          <w:rtl w:val="0"/>
        </w:rPr>
        <w:t xml:space="preserve"> con la Discriminated Union, l'aggiunta di nuovi nodi consiste in gran parte nella scrittura di boilerplate Zod.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Quale di questi due livelli dell'architettura preferisci esplorare e implementare per primo?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