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Entrambi gli approcci hanno un impatto strutturale sul ciclo di vita del Grafo Diretto Aciclico (DAG) e sull'interazione con l'operatore umano (HMI). Ecco un'analisi dei pro e dei contro per ciascuna architettura per definire la policy di esecuzione della macchina virtuale.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Propagazione dello stato SKIPPED (Fail-Fast)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un nodo entra in stato FAILED, il motore attraversa il grafo propagando uno stato terminale (es. SKIPPED o ABORTED) a tutti i nodi figli diretti e indiretti.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Libera istantaneamente la coda di esecuzione e consolida il ramo. Restituisce immediatamente il controllo all'LLM tramite lo State Delta, segnalando che la catena logica è interrotta e costringendo il modello a elaborare un approccio alternativo.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Contro:</w:t>
      </w:r>
      <w:r w:rsidDel="00000000" w:rsidR="00000000" w:rsidRPr="00000000">
        <w:rPr>
          <w:rtl w:val="0"/>
        </w:rPr>
        <w:t xml:space="preserve"> È un'operazione distruttiva per il workflow dell'HMI. Se l'operatore interviene per correggere manualmente il nodo in errore, i nodi figli sono ormai invalidati e non recuperabili. L'LLM dovrà consumare ulteriori token per rigenerare e allocare nuovamente l'intero sotto-albero.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Mantenimento nello stato PENDING (HMI-First / Blocked)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nodi figli mantengono lo stato PENDING (o vengono spostati in un nuovo stato semantico come BLOCKED_BY_DEPENDENCY). L'esecuzione della coda si interrompe in prossimità del nodo fallito senza alterare il resto della topologia.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Massimizza l'efficacia del pattern Human-in-the-Loop. Se un operatore corregge il payload del nodo bloccante tramite l'interfaccia Vue e ne forza la riesecuzione, il motore riprende la risoluzione topologica senza richiedere all'IA di ricreare le intenzioni successive.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Contro:</w:t>
      </w:r>
      <w:r w:rsidDel="00000000" w:rsidR="00000000" w:rsidRPr="00000000">
        <w:rPr>
          <w:rtl w:val="0"/>
        </w:rPr>
        <w:t xml:space="preserve"> Genera frammentazione dello stato (rami "zombie") all'interno dell'AST. Se l'operatore umano non interviene, i nodi figli rimangono appesi in memoria. Questo richiede l'introduzione di un meccanismo di pulizia, come un timeout del DAG o un nuovo comando JMP specifico (es. PRUNE_BRANCH) a disposizione dell'LLM.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Confronto Architetturale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Propagazione SKIPPED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Mantenimento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Resilienza HMI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Bassa (stato irrecuperabile)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 (stato recuperabile al 100%)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Ottimizzazione Token LLM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Bassa (richiede rigenerazione del ramo)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 (preserva le allocazioni in cache)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Pulizia della Memoria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Istantanea tramite propagazione automatica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Richiede Garbage Collection esplicita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Complessità 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Richiede attraversamento DFS aggiuntivo al fallimento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Nessuna computazione extra al fallimento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Considerando queste implicazioni, preferisci implementare la cascata distruttiva per massimizzare l'autonomia di recupero dell'IA o il blocco passivo per privilegiare l'intervento chirurgico dell'operatore?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