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7C5C3E"/>
          <w:spacing w:val="30"/>
          <w:sz w:val="22"/>
          <w:szCs w:val="22"/>
        </w:rPr>
        <w:t xml:space="preserve">TERRA CRACOVIANUM</w:t>
      </w:r>
    </w:p>
    <w:p>
      <w:pPr>
        <w:pBdr>
          <w:bottom w:val="single" w:color="7C5C3E" w:sz="8" w:space="6"/>
        </w:pBdr>
        <w:spacing w:after="240"/>
      </w:pPr>
      <w:r>
        <w:rPr>
          <w:color w:val="6B6258"/>
          <w:sz w:val="20"/>
          <w:szCs w:val="20"/>
        </w:rPr>
        <w:t xml:space="preserve">Analiza danych publicznych</w:t>
      </w:r>
    </w:p>
    <w:p>
      <w:pPr>
        <w:spacing w:after="60"/>
      </w:pPr>
      <w:r>
        <w:rPr>
          <w:b/>
          <w:bCs/>
          <w:color w:val="2A2622"/>
          <w:sz w:val="44"/>
          <w:szCs w:val="44"/>
        </w:rPr>
        <w:t xml:space="preserve">Product Requirements Document</w:t>
      </w:r>
    </w:p>
    <w:p>
      <w:pPr>
        <w:spacing w:after="200"/>
      </w:pPr>
      <w:r>
        <w:rPr>
          <w:color w:val="6B6258"/>
          <w:sz w:val="26"/>
          <w:szCs w:val="26"/>
        </w:rPr>
        <w:t xml:space="preserve">Interaktywna wizualizacja budżetu państwa polskiego (2011–2026)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single" w:color="D9D2C7" w:sz="1"/>
              <w:right w:val="none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7C5C3E"/>
                <w:sz w:val="20"/>
                <w:szCs w:val="20"/>
              </w:rPr>
              <w:t xml:space="preserve">Projekt</w:t>
            </w:r>
          </w:p>
        </w:tc>
        <w:tc>
          <w:tcPr>
            <w:tcW w:type="dxa" w:w="6960"/>
            <w:tcBorders>
              <w:top w:val="none"/>
              <w:left w:val="none"/>
              <w:bottom w:val="single" w:color="D9D2C7" w:sz="1"/>
              <w:right w:val="none"/>
            </w:tcBorders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Budżet Polski — interaktywna wizualizacja wydatków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single" w:color="D9D2C7" w:sz="1"/>
              <w:right w:val="none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7C5C3E"/>
                <w:sz w:val="20"/>
                <w:szCs w:val="20"/>
              </w:rPr>
              <w:t xml:space="preserve">Właściciel</w:t>
            </w:r>
          </w:p>
        </w:tc>
        <w:tc>
          <w:tcPr>
            <w:tcW w:type="dxa" w:w="6960"/>
            <w:tcBorders>
              <w:top w:val="none"/>
              <w:left w:val="none"/>
              <w:bottom w:val="single" w:color="D9D2C7" w:sz="1"/>
              <w:right w:val="none"/>
            </w:tcBorders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Adam Markocki (Prezes, Stowarzyszenie Terra Cracovianum)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single" w:color="D9D2C7" w:sz="1"/>
              <w:right w:val="none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7C5C3E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none"/>
              <w:left w:val="none"/>
              <w:bottom w:val="single" w:color="D9D2C7" w:sz="1"/>
              <w:right w:val="none"/>
            </w:tcBorders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Live / w rozwoju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single" w:color="D9D2C7" w:sz="1"/>
              <w:right w:val="none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7C5C3E"/>
                <w:sz w:val="20"/>
                <w:szCs w:val="20"/>
              </w:rPr>
              <w:t xml:space="preserve">Hosting</w:t>
            </w:r>
          </w:p>
        </w:tc>
        <w:tc>
          <w:tcPr>
            <w:tcW w:type="dxa" w:w="6960"/>
            <w:tcBorders>
              <w:top w:val="none"/>
              <w:left w:val="none"/>
              <w:bottom w:val="single" w:color="D9D2C7" w:sz="1"/>
              <w:right w:val="none"/>
            </w:tcBorders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GitHub Pages (statyczny, bez build-stepu)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single" w:color="D9D2C7" w:sz="1"/>
              <w:right w:val="none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7C5C3E"/>
                <w:sz w:val="20"/>
                <w:szCs w:val="20"/>
              </w:rPr>
              <w:t xml:space="preserve">Stack</w:t>
            </w:r>
          </w:p>
        </w:tc>
        <w:tc>
          <w:tcPr>
            <w:tcW w:type="dxa" w:w="6960"/>
            <w:tcBorders>
              <w:top w:val="none"/>
              <w:left w:val="none"/>
              <w:bottom w:val="single" w:color="D9D2C7" w:sz="1"/>
              <w:right w:val="none"/>
            </w:tcBorders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HTML + CSS + vanilla JS, D3.js v7 + d3-sankey (CDN)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single" w:color="D9D2C7" w:sz="1"/>
              <w:right w:val="none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7C5C3E"/>
                <w:sz w:val="20"/>
                <w:szCs w:val="20"/>
              </w:rPr>
              <w:t xml:space="preserve">Wersja dokumentu</w:t>
            </w:r>
          </w:p>
        </w:tc>
        <w:tc>
          <w:tcPr>
            <w:tcW w:type="dxa" w:w="6960"/>
            <w:tcBorders>
              <w:top w:val="none"/>
              <w:left w:val="none"/>
              <w:bottom w:val="single" w:color="D9D2C7" w:sz="1"/>
              <w:right w:val="none"/>
            </w:tcBorders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1.0 — handoff do Claude Code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single" w:color="D9D2C7" w:sz="1"/>
              <w:right w:val="none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7C5C3E"/>
                <w:sz w:val="20"/>
                <w:szCs w:val="20"/>
              </w:rPr>
              <w:t xml:space="preserve">Data</w:t>
            </w:r>
          </w:p>
        </w:tc>
        <w:tc>
          <w:tcPr>
            <w:tcW w:type="dxa" w:w="6960"/>
            <w:tcBorders>
              <w:top w:val="none"/>
              <w:left w:val="none"/>
              <w:bottom w:val="single" w:color="D9D2C7" w:sz="1"/>
              <w:right w:val="none"/>
            </w:tcBorders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Czerwiec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Spis treści</w:t>
      </w:r>
    </w:p>
    <w:sdt>
      <w:sdtPr>
        <w:alias w:val="Spis treśc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Przegląd produktu</w:t>
      </w:r>
    </w:p>
    <w:p>
      <w:pPr>
        <w:spacing w:after="120" w:line="276"/>
      </w:pPr>
      <w:r>
        <w:t xml:space="preserve">Aplikacja to jednostronicowa, statyczna wizualizacja </w:t>
      </w:r>
      <w:r>
        <w:rPr>
          <w:b/>
          <w:bCs/>
        </w:rPr>
        <w:t xml:space="preserve">planowanych wydatków budżetu państwa polskiego</w:t>
      </w:r>
      <w:r>
        <w:t xml:space="preserve"> dla lat 2011–2026. Każdy rok jest osobnym zestawem danych wyciągniętym wprost z ustawy budżetowej (załącznik nr 2 — wydatki). Użytkownik wybiera rok i ogląda strukturę wydatków na trzy sposoby: jako mapę (treemap z drill-downem), jako diagram przepływu (Sankey: dochody → budżet → wydatki) oraz jako rozbicie według rodzaju wydatku.</w:t>
      </w:r>
    </w:p>
    <w:p>
      <w:pPr>
        <w:spacing w:after="120" w:line="276"/>
      </w:pPr>
      <w:r>
        <w:rPr>
          <w:b/>
          <w:bCs/>
        </w:rPr>
        <w:t xml:space="preserve">Cel edukacyjny: </w:t>
      </w:r>
      <w:r>
        <w:t xml:space="preserve">pokazać obywatelowi, „na co państwo wydaje pieniądze”, w sposób przystępny, wiarygodny i porównywalny między latami. Wszystkie kwoty to plan z ustawy (nie wykonanie), co zapewnia spójność metodologiczną przez cały okres.</w:t>
      </w:r>
    </w:p>
    <w:p>
      <w:pPr>
        <w:pStyle w:val="Heading2"/>
      </w:pPr>
      <w:r>
        <w:t xml:space="preserve">1.1. Kluczowe założenia projektowe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Brak build-stepu. </w:t>
      </w:r>
      <w:r>
        <w:t xml:space="preserve">Wszystkie pliki muszą dać się wgrać bezpośrednio na GitHub Pages — żadnego npm, kompilacji, bundlerów. Biblioteki wczytywane z CDN.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Wszystko to plan, nie wykonanie. </w:t>
      </w:r>
      <w:r>
        <w:t xml:space="preserve">Dane pochodzą z ustaw budżetowych, nie ze sprawozdań z wykonania — by porównania między latami były metodologicznie spójne.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Weryfikacja co do złotówki. </w:t>
      </w:r>
      <w:r>
        <w:t xml:space="preserve">Dla każdego roku sumy działów, części i typów muszą zgadzać się z kwotą „Ogółem” z ustawy (diff 0).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Estetyka minimalistyczna. </w:t>
      </w:r>
      <w:r>
        <w:t xml:space="preserve">Kremowe tło, brązowy akcent (#7C5C3E), font Inter, ikony Tabler. Neutralna, „papierowa” identyfikacja wizualna.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Mobile-first responsywność. </w:t>
      </w:r>
      <w:r>
        <w:t xml:space="preserve">Treemap zmienia się w listę pasków, Sankey w układ pionowy; przełącznik lat układa się w siatkę.</w:t>
      </w:r>
    </w:p>
    <w:p>
      <w:pPr>
        <w:pStyle w:val="Heading1"/>
      </w:pPr>
      <w:r>
        <w:t xml:space="preserve">2. Stan obecny (co już działa)</w:t>
      </w:r>
    </w:p>
    <w:p>
      <w:pPr>
        <w:spacing w:after="120" w:line="276"/>
      </w:pPr>
      <w:r>
        <w:t xml:space="preserve">Aplikacja jest wdrożona i w pełni funkcjonalna. Poniżej dokładny inwentarz tego, co istnieje, żeby uniknąć przypadkowych regresji przy dalszej pracy.</w:t>
      </w:r>
    </w:p>
    <w:p>
      <w:pPr>
        <w:pStyle w:val="Heading2"/>
      </w:pPr>
      <w:r>
        <w:t xml:space="preserve">2.1. Pliki w repozytorium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7C5C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Plik</w:t>
            </w:r>
          </w:p>
        </w:tc>
        <w:tc>
          <w:tcPr>
            <w:tcW w:type="dxa" w:w="61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7C5C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Rola</w:t>
            </w:r>
          </w:p>
        </w:tc>
      </w:tr>
      <w:tr>
        <w:tc>
          <w:tcPr>
            <w:tcW w:type="dxa" w:w="32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index.html</w:t>
            </w:r>
          </w:p>
        </w:tc>
        <w:tc>
          <w:tcPr>
            <w:tcW w:type="dxa" w:w="61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Struktura strony: hero, pasek lat, zakładki, panele, stopka</w:t>
            </w:r>
          </w:p>
        </w:tc>
      </w:tr>
      <w:tr>
        <w:tc>
          <w:tcPr>
            <w:tcW w:type="dxa" w:w="32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style.css</w:t>
            </w:r>
          </w:p>
        </w:tc>
        <w:tc>
          <w:tcPr>
            <w:tcW w:type="dxa" w:w="61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Cała stylistyka + responsywność (breakpoint 760px)</w:t>
            </w:r>
          </w:p>
        </w:tc>
      </w:tr>
      <w:tr>
        <w:tc>
          <w:tcPr>
            <w:tcW w:type="dxa" w:w="32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app.js</w:t>
            </w:r>
          </w:p>
        </w:tc>
        <w:tc>
          <w:tcPr>
            <w:tcW w:type="dxa" w:w="61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Cała logika: wczytywanie danych, treemap, Sankey, typy, przełączanie lat</w:t>
            </w:r>
          </w:p>
        </w:tc>
      </w:tr>
      <w:tr>
        <w:tc>
          <w:tcPr>
            <w:tcW w:type="dxa" w:w="32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budget-data.json</w:t>
            </w:r>
          </w:p>
        </w:tc>
        <w:tc>
          <w:tcPr>
            <w:tcW w:type="dxa" w:w="61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Dane roku 2026 (domyślny, ładowany przy starcie)</w:t>
            </w:r>
          </w:p>
        </w:tc>
      </w:tr>
      <w:tr>
        <w:tc>
          <w:tcPr>
            <w:tcW w:type="dxa" w:w="32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budget-2011.json … budget-2025.json</w:t>
            </w:r>
          </w:p>
        </w:tc>
        <w:tc>
          <w:tcPr>
            <w:tcW w:type="dxa" w:w="61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Dane lat 2011–2025 (ładowane leniwie przy wyborze roku)</w:t>
            </w:r>
          </w:p>
        </w:tc>
      </w:tr>
    </w:tbl>
    <w:p>
      <w:pPr>
        <w:spacing w:after="160" w:before="80"/>
      </w:pPr>
      <w:r>
        <w:rPr>
          <w:b/>
          <w:bCs/>
        </w:rPr>
        <w:t xml:space="preserve">Uwaga porządkowa: </w:t>
      </w:r>
      <w:r>
        <w:t xml:space="preserve">w repozytorium pozostał plik </w:t>
      </w:r>
      <w:r>
        <w:rPr>
          <w:rFonts w:ascii="Consolas" w:cs="Consolas" w:eastAsia="Consolas" w:hAnsi="Consolas"/>
          <w:color w:val="7C5C3E"/>
          <w:sz w:val="20"/>
          <w:szCs w:val="20"/>
        </w:rPr>
        <w:t xml:space="preserve">trends-data.json</w:t>
      </w:r>
      <w:r>
        <w:t xml:space="preserve">, który nie jest już nigdzie używany (pochodzi z usuniętej zakładki „Trendy”). Można go bezpiecznie usunąć.</w:t>
      </w:r>
    </w:p>
    <w:p>
      <w:pPr>
        <w:pStyle w:val="Heading2"/>
      </w:pPr>
      <w:r>
        <w:t xml:space="preserve">2.2. Funkcje (zakładki)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00"/>
        <w:gridCol w:w="4060"/>
      </w:tblGrid>
      <w:tr>
        <w:trPr>
          <w:tblHeader/>
        </w:trPr>
        <w:tc>
          <w:tcPr>
            <w:tcW w:type="dxa" w:w="19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7C5C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Widok</w:t>
            </w:r>
          </w:p>
        </w:tc>
        <w:tc>
          <w:tcPr>
            <w:tcW w:type="dxa" w:w="34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7C5C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  <w:tc>
          <w:tcPr>
            <w:tcW w:type="dxa" w:w="40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7C5C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Funkcje</w:t>
            </w:r>
          </w:p>
        </w:tc>
      </w:tr>
      <w:tr>
        <w:tc>
          <w:tcPr>
            <w:tcW w:type="dxa" w:w="19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Mapa wydatków</w:t>
            </w:r>
          </w:p>
        </w:tc>
        <w:tc>
          <w:tcPr>
            <w:tcW w:type="dxa" w:w="34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Treemap — pola proporcjonalne do kwot</w:t>
            </w:r>
          </w:p>
        </w:tc>
        <w:tc>
          <w:tcPr>
            <w:tcW w:type="dxa" w:w="40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Drill-down (klik wchodzi głębiej), 2 osie: „na co (działy)” i „kto wydaje (części)” → rozdziały, breadcrumby</w:t>
            </w:r>
          </w:p>
        </w:tc>
      </w:tr>
      <w:tr>
        <w:tc>
          <w:tcPr>
            <w:tcW w:type="dxa" w:w="19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Przepływ</w:t>
            </w:r>
          </w:p>
        </w:tc>
        <w:tc>
          <w:tcPr>
            <w:tcW w:type="dxa" w:w="34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Sankey — dochody → budżet → wydatki</w:t>
            </w:r>
          </w:p>
        </w:tc>
        <w:tc>
          <w:tcPr>
            <w:tcW w:type="dxa" w:w="40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Czerwony strumień = deficyt; obsługuje rok zbilansowany (2020, deficyt 0)</w:t>
            </w:r>
          </w:p>
        </w:tc>
      </w:tr>
      <w:tr>
        <w:tc>
          <w:tcPr>
            <w:tcW w:type="dxa" w:w="19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Rodzaj wydatku</w:t>
            </w:r>
          </w:p>
        </w:tc>
        <w:tc>
          <w:tcPr>
            <w:tcW w:type="dxa" w:w="34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Poziome paski wg typu wydatku</w:t>
            </w:r>
          </w:p>
        </w:tc>
        <w:tc>
          <w:tcPr>
            <w:tcW w:type="dxa" w:w="40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 kategorii (dotacje, świadczenia, bieżące, majątkowe, dług, środki UE, współfinansowanie)</w:t>
            </w:r>
          </w:p>
        </w:tc>
      </w:tr>
    </w:tbl>
    <w:p>
      <w:pPr>
        <w:pStyle w:val="Heading2"/>
      </w:pPr>
      <w:r>
        <w:t xml:space="preserve">2.3. Przełącznik lat</w:t>
      </w:r>
    </w:p>
    <w:p>
      <w:pPr>
        <w:spacing w:after="120" w:line="276"/>
      </w:pPr>
      <w:r>
        <w:t xml:space="preserve">Prominentny pasek pod sekcją hero z 16 przyciskami (2011–2026). Wybór roku leniwie ładuje plik danego roku, cache'uje go i przerysowuje aktywny widok oraz statystyki, hero i nagłówek. Na mobile etykieta układa się nad siatką przycisków (6 w rzędzie).</w:t>
      </w:r>
    </w:p>
    <w:p>
      <w:pPr>
        <w:pStyle w:val="Heading2"/>
      </w:pPr>
      <w:r>
        <w:t xml:space="preserve">2.4. Reaktywność na rok</w:t>
      </w:r>
    </w:p>
    <w:p>
      <w:pPr>
        <w:spacing w:after="120" w:line="276"/>
      </w:pPr>
      <w:r>
        <w:t xml:space="preserve">Przy zmianie roku aktualizują się: kafelki treemapy, diagram Sankey, paski typów, cztery karty statystyk, kwota i rok w hero, tekst wprowadzający oraz odnośnik do ustawy w nagłówku. Czwarta karta statystyk pokazuje „Dług / PKB” jeśli dane są dostępne (2026), w przeciwnym razie „Pokrycie wydatków” (dochody / wydatki).</w:t>
      </w:r>
    </w:p>
    <w:p>
      <w:r>
        <w:br w:type="page"/>
      </w:r>
    </w:p>
    <w:p>
      <w:pPr>
        <w:pStyle w:val="Heading1"/>
      </w:pPr>
      <w:r>
        <w:t xml:space="preserve">3. Model danych</w:t>
      </w:r>
    </w:p>
    <w:p>
      <w:pPr>
        <w:spacing w:after="120" w:line="276"/>
      </w:pPr>
      <w:r>
        <w:t xml:space="preserve">Każdy plik </w:t>
      </w:r>
      <w:r>
        <w:rPr>
          <w:rFonts w:ascii="Consolas" w:cs="Consolas" w:eastAsia="Consolas" w:hAnsi="Consolas"/>
          <w:color w:val="7C5C3E"/>
          <w:sz w:val="20"/>
          <w:szCs w:val="20"/>
        </w:rPr>
        <w:t xml:space="preserve">budget-YYYY.json</w:t>
      </w:r>
      <w:r>
        <w:t xml:space="preserve"> ma identyczną strukturę. Wszystkie kwoty są w </w:t>
      </w:r>
      <w:r>
        <w:rPr>
          <w:b/>
          <w:bCs/>
        </w:rPr>
        <w:t xml:space="preserve">tysiącach złotych</w:t>
      </w:r>
      <w:r>
        <w:t xml:space="preserve"> (</w:t>
      </w:r>
      <w:r>
        <w:rPr>
          <w:rFonts w:ascii="Consolas" w:cs="Consolas" w:eastAsia="Consolas" w:hAnsi="Consolas"/>
          <w:color w:val="7C5C3E"/>
          <w:sz w:val="20"/>
          <w:szCs w:val="20"/>
        </w:rPr>
        <w:t xml:space="preserve">tys. zł</w:t>
      </w:r>
      <w:r>
        <w:t xml:space="preserve">).</w:t>
      </w:r>
    </w:p>
    <w:p>
      <w:pPr>
        <w:pStyle w:val="Heading2"/>
      </w:pPr>
      <w:r>
        <w:t xml:space="preserve">3.1. Schemat pliku rocznego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"meta": { "rok", "ustawa", "wydatki", "dochody", "deficyt",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"jednostka", "typ", ["dlug_pkb_proc"], ["obrona_pkb_proc"] },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"dochody": [ { "name", "plan" }, … ],            // dla Sankey (strona dochodów)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"dzialy":  [ { "code", "name", "plan" }, … ],    // 31–32 funkcje (widok „na co”)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"czesci":  [ { "code", "name", "plan",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"dzialy": [ { "code","name","plan",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"rozdzialy":[…] } ] } ],  // 80–84 jednostki + drill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"typy":    [ { "name", "plan" }, … ]             // 7 rodzajów wydatku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3.2. Pola meta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5860"/>
      </w:tblGrid>
      <w:tr>
        <w:trPr>
          <w:tblHeader/>
        </w:trPr>
        <w:tc>
          <w:tcPr>
            <w:tcW w:type="dxa" w:w="22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7C5C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13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7C5C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58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7C5C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2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rok</w:t>
            </w:r>
          </w:p>
        </w:tc>
        <w:tc>
          <w:tcPr>
            <w:tcW w:type="dxa" w:w="13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58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Rok budżetowy (np. 2026)</w:t>
            </w:r>
          </w:p>
        </w:tc>
      </w:tr>
      <w:tr>
        <w:tc>
          <w:tcPr>
            <w:tcW w:type="dxa" w:w="22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ustawa</w:t>
            </w:r>
          </w:p>
        </w:tc>
        <w:tc>
          <w:tcPr>
            <w:tcW w:type="dxa" w:w="13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Pełny odnośnik do ustawy (Dz.U.)</w:t>
            </w:r>
          </w:p>
        </w:tc>
      </w:tr>
      <w:tr>
        <w:tc>
          <w:tcPr>
            <w:tcW w:type="dxa" w:w="22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wydatki</w:t>
            </w:r>
          </w:p>
        </w:tc>
        <w:tc>
          <w:tcPr>
            <w:tcW w:type="dxa" w:w="13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58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Łączne wydatki (= suma działów = suma części = suma typów)</w:t>
            </w:r>
          </w:p>
        </w:tc>
      </w:tr>
      <w:tr>
        <w:tc>
          <w:tcPr>
            <w:tcW w:type="dxa" w:w="22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dochody</w:t>
            </w:r>
          </w:p>
        </w:tc>
        <w:tc>
          <w:tcPr>
            <w:tcW w:type="dxa" w:w="13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58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Łączne dochody planowane</w:t>
            </w:r>
          </w:p>
        </w:tc>
      </w:tr>
      <w:tr>
        <w:tc>
          <w:tcPr>
            <w:tcW w:type="dxa" w:w="22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deficyt</w:t>
            </w:r>
          </w:p>
        </w:tc>
        <w:tc>
          <w:tcPr>
            <w:tcW w:type="dxa" w:w="13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58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Deficyt (wydatki − dochody); 0 dla 2020</w:t>
            </w:r>
          </w:p>
        </w:tc>
      </w:tr>
      <w:tr>
        <w:tc>
          <w:tcPr>
            <w:tcW w:type="dxa" w:w="22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jednostka</w:t>
            </w:r>
          </w:p>
        </w:tc>
        <w:tc>
          <w:tcPr>
            <w:tcW w:type="dxa" w:w="13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Zawsze „tys. zł”</w:t>
            </w:r>
          </w:p>
        </w:tc>
      </w:tr>
      <w:tr>
        <w:tc>
          <w:tcPr>
            <w:tcW w:type="dxa" w:w="22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typ</w:t>
            </w:r>
          </w:p>
        </w:tc>
        <w:tc>
          <w:tcPr>
            <w:tcW w:type="dxa" w:w="13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Zawsze „plan”</w:t>
            </w:r>
          </w:p>
        </w:tc>
      </w:tr>
      <w:tr>
        <w:tc>
          <w:tcPr>
            <w:tcW w:type="dxa" w:w="22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dlug_pkb_proc</w:t>
            </w:r>
          </w:p>
        </w:tc>
        <w:tc>
          <w:tcPr>
            <w:tcW w:type="dxa" w:w="13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number?</w:t>
            </w:r>
          </w:p>
        </w:tc>
        <w:tc>
          <w:tcPr>
            <w:tcW w:type="dxa" w:w="58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Opcjonalne — tylko 2026; steruje 4. kartą statystyk</w:t>
            </w:r>
          </w:p>
        </w:tc>
      </w:tr>
    </w:tbl>
    <w:p>
      <w:pPr>
        <w:pStyle w:val="Heading2"/>
      </w:pPr>
      <w:r>
        <w:t xml:space="preserve">3.3. Niezmienniki (KRYTYCZNE)</w:t>
      </w:r>
    </w:p>
    <w:p>
      <w:pPr>
        <w:spacing w:after="120" w:line="276"/>
      </w:pPr>
      <w:r>
        <w:t xml:space="preserve">Te warunki muszą być spełnione dla każdego nowego lub zmodyfikowanego pliku rocznego. To one gwarantują wiarygodność wizualizacji: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suma dzialy[].plan == meta.wydatki</w:t>
      </w:r>
      <w:r>
        <w:t xml:space="preserve"> (diff 0)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suma czesci[].plan == meta.wydatki</w:t>
      </w:r>
      <w:r>
        <w:t xml:space="preserve"> (diff 0)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suma typy[].plan == meta.wydatki</w:t>
      </w:r>
      <w:r>
        <w:t xml:space="preserve"> (diff 0)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dla każdej części: suma jej dzialy[].plan == czesc.plan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meta.deficyt == meta.wydatki − meta.dochody</w:t>
      </w:r>
    </w:p>
    <w:p>
      <w:r>
        <w:br w:type="page"/>
      </w:r>
    </w:p>
    <w:p>
      <w:pPr>
        <w:pStyle w:val="Heading1"/>
      </w:pPr>
      <w:r>
        <w:t xml:space="preserve">4. Architektura kodu (app.js)</w:t>
      </w:r>
    </w:p>
    <w:p>
      <w:pPr>
        <w:spacing w:after="120" w:line="276"/>
      </w:pPr>
      <w:r>
        <w:t xml:space="preserve">Cała logika jest w jednym pliku, podzielona na sekcje. Najważniejsze elementy globalne i funkcje:</w:t>
      </w:r>
    </w:p>
    <w:p>
      <w:pPr>
        <w:pStyle w:val="Heading2"/>
      </w:pPr>
      <w:r>
        <w:t xml:space="preserve">4.1. Stan globalny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7C5C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Zmienna</w:t>
            </w:r>
          </w:p>
        </w:tc>
        <w:tc>
          <w:tcPr>
            <w:tcW w:type="dxa" w:w="69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7C5C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Rola</w:t>
            </w:r>
          </w:p>
        </w:tc>
      </w:tr>
      <w:tr>
        <w:tc>
          <w:tcPr>
            <w:tcW w:type="dxa" w:w="24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</w:t>
            </w:r>
          </w:p>
        </w:tc>
        <w:tc>
          <w:tcPr>
            <w:tcW w:type="dxa" w:w="69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Dane aktualnie wyświetlanego roku</w:t>
            </w:r>
          </w:p>
        </w:tc>
      </w:tr>
      <w:tr>
        <w:tc>
          <w:tcPr>
            <w:tcW w:type="dxa" w:w="24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YEAR</w:t>
            </w:r>
          </w:p>
        </w:tc>
        <w:tc>
          <w:tcPr>
            <w:tcW w:type="dxa" w:w="69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Aktualny rok (domyślnie 2026)</w:t>
            </w:r>
          </w:p>
        </w:tc>
      </w:tr>
      <w:tr>
        <w:tc>
          <w:tcPr>
            <w:tcW w:type="dxa" w:w="24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YEAR_CACHE</w:t>
            </w:r>
          </w:p>
        </w:tc>
        <w:tc>
          <w:tcPr>
            <w:tcW w:type="dxa" w:w="69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Cache wczytanych plików rocznych (rok → json)</w:t>
            </w:r>
          </w:p>
        </w:tc>
      </w:tr>
      <w:tr>
        <w:tc>
          <w:tcPr>
            <w:tcW w:type="dxa" w:w="24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YEAR_FILES</w:t>
            </w:r>
          </w:p>
        </w:tc>
        <w:tc>
          <w:tcPr>
            <w:tcW w:type="dxa" w:w="69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Mapowanie rok → nazwa pliku</w:t>
            </w:r>
          </w:p>
        </w:tc>
      </w:tr>
      <w:tr>
        <w:tc>
          <w:tcPr>
            <w:tcW w:type="dxa" w:w="24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view</w:t>
            </w:r>
          </w:p>
        </w:tc>
        <w:tc>
          <w:tcPr>
            <w:tcW w:type="dxa" w:w="69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Aktywny widok: „tree” | „flow” | „type”</w:t>
            </w:r>
          </w:p>
        </w:tc>
      </w:tr>
      <w:tr>
        <w:tc>
          <w:tcPr>
            <w:tcW w:type="dxa" w:w="24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axis</w:t>
            </w:r>
          </w:p>
        </w:tc>
        <w:tc>
          <w:tcPr>
            <w:tcW w:type="dxa" w:w="69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Oś treemapy: „dzialy” | „czesci”</w:t>
            </w:r>
          </w:p>
        </w:tc>
      </w:tr>
      <w:tr>
        <w:tc>
          <w:tcPr>
            <w:tcW w:type="dxa" w:w="24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path</w:t>
            </w:r>
          </w:p>
        </w:tc>
        <w:tc>
          <w:tcPr>
            <w:tcW w:type="dxa" w:w="69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Ścieżka drill-downu (breadcrumby)</w:t>
            </w:r>
          </w:p>
        </w:tc>
      </w:tr>
    </w:tbl>
    <w:p>
      <w:pPr>
        <w:pStyle w:val="Heading2"/>
      </w:pPr>
      <w:r>
        <w:t xml:space="preserve">4.2. Kluczowe funkcje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7C5C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Funkcja</w:t>
            </w:r>
          </w:p>
        </w:tc>
        <w:tc>
          <w:tcPr>
            <w:tcW w:type="dxa" w:w="67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7C5C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Rola</w:t>
            </w:r>
          </w:p>
        </w:tc>
      </w:tr>
      <w:tr>
        <w:tc>
          <w:tcPr>
            <w:tcW w:type="dxa" w:w="26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setYear(yr)</w:t>
            </w:r>
          </w:p>
        </w:tc>
        <w:tc>
          <w:tcPr>
            <w:tcW w:type="dxa" w:w="67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Leniwie ładuje plik roku, cache'uje, przerysowuje aktywny widok + statystyki</w:t>
            </w:r>
          </w:p>
        </w:tc>
      </w:tr>
      <w:tr>
        <w:tc>
          <w:tcPr>
            <w:tcW w:type="dxa" w:w="26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renderStats()</w:t>
            </w:r>
          </w:p>
        </w:tc>
        <w:tc>
          <w:tcPr>
            <w:tcW w:type="dxa" w:w="67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Aktualizuje 4 karty, hero, nagłówek wg meta roku</w:t>
            </w:r>
          </w:p>
        </w:tc>
      </w:tr>
      <w:tr>
        <w:tc>
          <w:tcPr>
            <w:tcW w:type="dxa" w:w="26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drawTree()</w:t>
            </w:r>
          </w:p>
        </w:tc>
        <w:tc>
          <w:tcPr>
            <w:tcW w:type="dxa" w:w="67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Treemap (desktop) / lista pasków (mobile)</w:t>
            </w:r>
          </w:p>
        </w:tc>
      </w:tr>
      <w:tr>
        <w:tc>
          <w:tcPr>
            <w:tcW w:type="dxa" w:w="26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drawSankey()</w:t>
            </w:r>
          </w:p>
        </w:tc>
        <w:tc>
          <w:tcPr>
            <w:tcW w:type="dxa" w:w="67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Diagram przepływu (desktop / pionowy mobile)</w:t>
            </w:r>
          </w:p>
        </w:tc>
      </w:tr>
      <w:tr>
        <w:tc>
          <w:tcPr>
            <w:tcW w:type="dxa" w:w="26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drawTypes()</w:t>
            </w:r>
          </w:p>
        </w:tc>
        <w:tc>
          <w:tcPr>
            <w:tcW w:type="dxa" w:w="67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Paski rodzajów wydatku z DATA.typy</w:t>
            </w:r>
          </w:p>
        </w:tc>
      </w:tr>
      <w:tr>
        <w:tc>
          <w:tcPr>
            <w:tcW w:type="dxa" w:w="26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switchView(v)</w:t>
            </w:r>
          </w:p>
        </w:tc>
        <w:tc>
          <w:tcPr>
            <w:tcW w:type="dxa" w:w="67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Przełącza zakładki; chowa oś przy widokach innych niż treemap</w:t>
            </w:r>
          </w:p>
        </w:tc>
      </w:tr>
      <w:tr>
        <w:tc>
          <w:tcPr>
            <w:tcW w:type="dxa" w:w="26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setAxis(a)</w:t>
            </w:r>
          </w:p>
        </w:tc>
        <w:tc>
          <w:tcPr>
            <w:tcW w:type="dxa" w:w="67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Przełącza działy ↔ części, resetuje drill</w:t>
            </w:r>
          </w:p>
        </w:tc>
      </w:tr>
      <w:tr>
        <w:tc>
          <w:tcPr>
            <w:tcW w:type="dxa" w:w="26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isMobile()</w:t>
            </w:r>
          </w:p>
        </w:tc>
        <w:tc>
          <w:tcPr>
            <w:tcW w:type="dxa" w:w="67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Detekcja: szerokość ≤760px LUB coarse-pointer &lt;900px</w:t>
            </w:r>
          </w:p>
        </w:tc>
      </w:tr>
    </w:tbl>
    <w:p>
      <w:pPr>
        <w:pStyle w:val="Heading2"/>
      </w:pPr>
      <w:r>
        <w:t xml:space="preserve">4.3. Responsywność</w:t>
      </w:r>
    </w:p>
    <w:p>
      <w:pPr>
        <w:spacing w:after="120" w:line="276"/>
      </w:pPr>
      <w:r>
        <w:t xml:space="preserve">Breakpoint to 760px (plus fallback dla ekranów dotykowych &lt;900px, który naprawia przeglądarki in-app). Na mobile JavaScript przełącza treemap na listę pasków (</w:t>
      </w:r>
      <w:r>
        <w:rPr>
          <w:rFonts w:ascii="Consolas" w:cs="Consolas" w:eastAsia="Consolas" w:hAnsi="Consolas"/>
          <w:color w:val="7C5C3E"/>
          <w:sz w:val="20"/>
          <w:szCs w:val="20"/>
        </w:rPr>
        <w:t xml:space="preserve">#tree-rest</w:t>
      </w:r>
      <w:r>
        <w:t xml:space="preserve">), a Sankey na układ pionowy. Nasłuch zmiany breakpointu przerysowuje aktywny widok.</w:t>
      </w:r>
    </w:p>
    <w:p>
      <w:r>
        <w:br w:type="page"/>
      </w:r>
    </w:p>
    <w:p>
      <w:pPr>
        <w:pStyle w:val="Heading1"/>
      </w:pPr>
      <w:r>
        <w:t xml:space="preserve">5. Pokrycie danymi i parsowanie</w:t>
      </w:r>
    </w:p>
    <w:p>
      <w:pPr>
        <w:pStyle w:val="Heading2"/>
      </w:pPr>
      <w:r>
        <w:t xml:space="preserve">5.1. Lata gotowe (2011–2026)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100"/>
        <w:gridCol w:w="2100"/>
        <w:gridCol w:w="4060"/>
      </w:tblGrid>
      <w:tr>
        <w:trPr>
          <w:tblHeader/>
        </w:trPr>
        <w:tc>
          <w:tcPr>
            <w:tcW w:type="dxa" w:w="11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7C5C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Rok</w:t>
            </w:r>
          </w:p>
        </w:tc>
        <w:tc>
          <w:tcPr>
            <w:tcW w:type="dxa" w:w="21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7C5C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Wydatki (mld)</w:t>
            </w:r>
          </w:p>
        </w:tc>
        <w:tc>
          <w:tcPr>
            <w:tcW w:type="dxa" w:w="21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7C5C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Deficyt (mld)</w:t>
            </w:r>
          </w:p>
        </w:tc>
        <w:tc>
          <w:tcPr>
            <w:tcW w:type="dxa" w:w="40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7C5C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Uwagi</w:t>
            </w:r>
          </w:p>
        </w:tc>
      </w:tr>
      <w:tr>
        <w:tc>
          <w:tcPr>
            <w:tcW w:type="dxa" w:w="11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2011</w:t>
            </w:r>
          </w:p>
        </w:tc>
        <w:tc>
          <w:tcPr>
            <w:tcW w:type="dxa" w:w="21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313,3</w:t>
            </w:r>
          </w:p>
        </w:tc>
        <w:tc>
          <w:tcPr>
            <w:tcW w:type="dxa" w:w="21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40,2</w:t>
            </w:r>
          </w:p>
        </w:tc>
        <w:tc>
          <w:tcPr>
            <w:tcW w:type="dxa" w:w="40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font Univers; dział 756 domknięty ręcznie</w:t>
            </w:r>
          </w:p>
        </w:tc>
      </w:tr>
      <w:tr>
        <w:tc>
          <w:tcPr>
            <w:tcW w:type="dxa" w:w="11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2012–2017</w:t>
            </w:r>
          </w:p>
        </w:tc>
        <w:tc>
          <w:tcPr>
            <w:tcW w:type="dxa" w:w="21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328,8 → 384,8</w:t>
            </w:r>
          </w:p>
        </w:tc>
        <w:tc>
          <w:tcPr>
            <w:tcW w:type="dxa" w:w="21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35,0 → 59,3</w:t>
            </w:r>
          </w:p>
        </w:tc>
        <w:tc>
          <w:tcPr>
            <w:tcW w:type="dxa" w:w="40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nowy format, parser czysty</w:t>
            </w:r>
          </w:p>
        </w:tc>
      </w:tr>
      <w:tr>
        <w:tc>
          <w:tcPr>
            <w:tcW w:type="dxa" w:w="11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2018</w:t>
            </w:r>
          </w:p>
        </w:tc>
        <w:tc>
          <w:tcPr>
            <w:tcW w:type="dxa" w:w="21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397,2</w:t>
            </w:r>
          </w:p>
        </w:tc>
        <w:tc>
          <w:tcPr>
            <w:tcW w:type="dxa" w:w="21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41,5</w:t>
            </w:r>
          </w:p>
        </w:tc>
        <w:tc>
          <w:tcPr>
            <w:tcW w:type="dxa" w:w="40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32 działy</w:t>
            </w:r>
          </w:p>
        </w:tc>
      </w:tr>
      <w:tr>
        <w:tc>
          <w:tcPr>
            <w:tcW w:type="dxa" w:w="11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2019</w:t>
            </w:r>
          </w:p>
        </w:tc>
        <w:tc>
          <w:tcPr>
            <w:tcW w:type="dxa" w:w="21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416,2</w:t>
            </w:r>
          </w:p>
        </w:tc>
        <w:tc>
          <w:tcPr>
            <w:tcW w:type="dxa" w:w="21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28,5</w:t>
            </w:r>
          </w:p>
        </w:tc>
        <w:tc>
          <w:tcPr>
            <w:tcW w:type="dxa" w:w="40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2020</w:t>
            </w:r>
          </w:p>
        </w:tc>
        <w:tc>
          <w:tcPr>
            <w:tcW w:type="dxa" w:w="21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435,3</w:t>
            </w:r>
          </w:p>
        </w:tc>
        <w:tc>
          <w:tcPr>
            <w:tcW w:type="dxa" w:w="21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40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budżet zbilansowany (pierwotna ustawa)</w:t>
            </w:r>
          </w:p>
        </w:tc>
      </w:tr>
      <w:tr>
        <w:tc>
          <w:tcPr>
            <w:tcW w:type="dxa" w:w="11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2021–2024</w:t>
            </w:r>
          </w:p>
        </w:tc>
        <w:tc>
          <w:tcPr>
            <w:tcW w:type="dxa" w:w="21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486,8 → 866,4</w:t>
            </w:r>
          </w:p>
        </w:tc>
        <w:tc>
          <w:tcPr>
            <w:tcW w:type="dxa" w:w="21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82,3 → 184,0</w:t>
            </w:r>
          </w:p>
        </w:tc>
        <w:tc>
          <w:tcPr>
            <w:tcW w:type="dxa" w:w="40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części 48/89 domknięte ręcznie</w:t>
            </w:r>
          </w:p>
        </w:tc>
      </w:tr>
      <w:tr>
        <w:tc>
          <w:tcPr>
            <w:tcW w:type="dxa" w:w="11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2025</w:t>
            </w:r>
          </w:p>
        </w:tc>
        <w:tc>
          <w:tcPr>
            <w:tcW w:type="dxa" w:w="21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921,6</w:t>
            </w:r>
          </w:p>
        </w:tc>
        <w:tc>
          <w:tcPr>
            <w:tcW w:type="dxa" w:w="21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288,8</w:t>
            </w:r>
          </w:p>
        </w:tc>
        <w:tc>
          <w:tcPr>
            <w:tcW w:type="dxa" w:w="40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reforma JST</w:t>
            </w:r>
          </w:p>
        </w:tc>
      </w:tr>
      <w:tr>
        <w:tc>
          <w:tcPr>
            <w:tcW w:type="dxa" w:w="11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</w:t>
            </w:r>
          </w:p>
        </w:tc>
        <w:tc>
          <w:tcPr>
            <w:tcW w:type="dxa" w:w="21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918,9</w:t>
            </w:r>
          </w:p>
        </w:tc>
        <w:tc>
          <w:tcPr>
            <w:tcW w:type="dxa" w:w="21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271,7</w:t>
            </w:r>
          </w:p>
        </w:tc>
        <w:tc>
          <w:tcPr>
            <w:tcW w:type="dxa" w:w="40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 dlug_pkb_proc; domyślny rok</w:t>
            </w:r>
          </w:p>
        </w:tc>
      </w:tr>
    </w:tbl>
    <w:p>
      <w:pPr>
        <w:pStyle w:val="Heading2"/>
      </w:pPr>
      <w:r>
        <w:t xml:space="preserve">5.2. Format ustaw — ważne dla przyszłego parsowania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2012–2026: </w:t>
      </w:r>
      <w:r>
        <w:t xml:space="preserve">font Times New Roman (ISAP). Uniwersalny parser działa czysto, sumy zgadzają się bez ręcznych poprawek.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2011: </w:t>
      </w:r>
      <w:r>
        <w:t xml:space="preserve">font Univers, ale tekst nadal wyciągalny. Wymaga domknięcia zawijanej nazwy działu 756.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2010: </w:t>
      </w:r>
      <w:r>
        <w:t xml:space="preserve">wyciągalne, ALE części nie domykają się czysto (luka ~16,6 mln, inny układ wcięć w głębokiej tabeli). NIEZROBIONE.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2005–2009: </w:t>
      </w:r>
      <w:r>
        <w:t xml:space="preserve">stary font Univers z popsutym kodowaniem — pdftotext produkuje „krzaki” („BUDĩETU PAēSTWA”), nazwy nieczytelne. Wymaga OCR. ŚWIADOMIE POMINIĘTE.</w:t>
      </w:r>
    </w:p>
    <w:p>
      <w:pPr>
        <w:pStyle w:val="Heading2"/>
      </w:pPr>
      <w:r>
        <w:t xml:space="preserve">5.3. Logika parsera (do reużycia)</w:t>
      </w:r>
    </w:p>
    <w:p>
      <w:pPr>
        <w:spacing w:after="120" w:line="276"/>
      </w:pPr>
      <w:r>
        <w:t xml:space="preserve">Skrypty parsujące powstawały w środowisku roboczym (poza repo). Kluczowe elementy: </w:t>
      </w:r>
      <w:r>
        <w:rPr>
          <w:rFonts w:ascii="Consolas" w:cs="Consolas" w:eastAsia="Consolas" w:hAnsi="Consolas"/>
          <w:color w:val="7C5C3E"/>
          <w:sz w:val="20"/>
          <w:szCs w:val="20"/>
        </w:rPr>
        <w:t xml:space="preserve">find_deep_start()</w:t>
      </w:r>
      <w:r>
        <w:t xml:space="preserve"> lokalizuje część 01 w głębokiej tabeli; </w:t>
      </w:r>
      <w:r>
        <w:rPr>
          <w:rFonts w:ascii="Consolas" w:cs="Consolas" w:eastAsia="Consolas" w:hAnsi="Consolas"/>
          <w:color w:val="7C5C3E"/>
          <w:sz w:val="20"/>
          <w:szCs w:val="20"/>
        </w:rPr>
        <w:t xml:space="preserve">parse_summary()</w:t>
      </w:r>
      <w:r>
        <w:t xml:space="preserve"> czyta wiersze działów do „Ogółem”; </w:t>
      </w:r>
      <w:r>
        <w:rPr>
          <w:rFonts w:ascii="Consolas" w:cs="Consolas" w:eastAsia="Consolas" w:hAnsi="Consolas"/>
          <w:color w:val="7C5C3E"/>
          <w:sz w:val="20"/>
          <w:szCs w:val="20"/>
        </w:rPr>
        <w:t xml:space="preserve">parse_deep()</w:t>
      </w:r>
      <w:r>
        <w:t xml:space="preserve"> parsuje część → dział → rozdział ze scalaniem zawijanych nazw. </w:t>
      </w:r>
      <w:r>
        <w:rPr>
          <w:b/>
          <w:bCs/>
        </w:rPr>
        <w:t xml:space="preserve">Podatki (VAT/akcyza/CIT/PIT) MUSZĄ być czytane z załącznika 1 każdej ustawy — nigdy z pamięci</w:t>
      </w:r>
      <w:r>
        <w:t xml:space="preserve"> (figury z pamięci bywają błędne).</w:t>
      </w:r>
    </w:p>
    <w:p>
      <w:r>
        <w:br w:type="page"/>
      </w:r>
    </w:p>
    <w:p>
      <w:pPr>
        <w:pStyle w:val="Heading1"/>
      </w:pPr>
      <w:r>
        <w:t xml:space="preserve">6. Backlog i kierunki rozwoju</w:t>
      </w:r>
    </w:p>
    <w:p>
      <w:pPr>
        <w:spacing w:after="120" w:line="276"/>
      </w:pPr>
      <w:r>
        <w:t xml:space="preserve">Uporządkowane wg priorytetu. Każdy element zachowuje niezmienniki danych (sekcja 3.3) i zasadę „bez build-stepu”.</w:t>
      </w:r>
    </w:p>
    <w:p>
      <w:pPr>
        <w:pStyle w:val="Heading2"/>
      </w:pPr>
      <w:r>
        <w:t xml:space="preserve">6.1. Domknięcie danych historycznych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2010 — </w:t>
      </w:r>
      <w:r>
        <w:t xml:space="preserve">dopracować parser głębokiej tabeli (inny układ wcięć), domknąć brakujące części (38, 39, 40 i in.). Dodać 1 przycisk do paska lat.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2005–2009 — </w:t>
      </w:r>
      <w:r>
        <w:t xml:space="preserve">ścieżka OCR: rasteryzacja stron → rozpoznanie tekstu → walidacja sum. Wolne i ryzykowne; zalecane najpierw 1 rok na próbę.</w:t>
      </w:r>
    </w:p>
    <w:p>
      <w:pPr>
        <w:pStyle w:val="Heading2"/>
      </w:pPr>
      <w:r>
        <w:t xml:space="preserve">6.2. Nowe funkcje (z wcześniejszych planów)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Porównywarka lat — </w:t>
      </w:r>
      <w:r>
        <w:t xml:space="preserve">widok zestawiający dwa wybrane lata obok siebie (np. wydatki +X%, deficyt ×Y), oparty o pełne dane działów/części.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Wskaźniki gospodarcze — </w:t>
      </w:r>
      <w:r>
        <w:t xml:space="preserve">dashboard PKB / inflacja / handel dla państw Grupy Wyszehradzkiej.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Wartości realne — </w:t>
      </w:r>
      <w:r>
        <w:t xml:space="preserve">opcjonalne przeliczanie kwot na ceny stałe (urealnienie o inflację), by porównania 2011↔2026 były uczciwe.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Eksport / udostępnianie — </w:t>
      </w:r>
      <w:r>
        <w:t xml:space="preserve">link do konkretnego roku i widoku (parametry URL), pobranie wykresu jako PNG.</w:t>
      </w:r>
    </w:p>
    <w:p>
      <w:pPr>
        <w:pStyle w:val="Heading2"/>
      </w:pPr>
      <w:r>
        <w:t xml:space="preserve">6.3. Porządki techniczne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Usunąć </w:t>
      </w:r>
      <w:r>
        <w:rPr>
          <w:rFonts w:ascii="Consolas" w:cs="Consolas" w:eastAsia="Consolas" w:hAnsi="Consolas"/>
          <w:color w:val="7C5C3E"/>
          <w:sz w:val="20"/>
          <w:szCs w:val="20"/>
        </w:rPr>
        <w:t xml:space="preserve">trends-data.json</w:t>
      </w:r>
      <w:r>
        <w:t xml:space="preserve"> (nieużywany).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Cache-busting: </w:t>
      </w:r>
      <w:r>
        <w:t xml:space="preserve">parametr </w:t>
      </w:r>
      <w:r>
        <w:rPr>
          <w:rFonts w:ascii="Consolas" w:cs="Consolas" w:eastAsia="Consolas" w:hAnsi="Consolas"/>
          <w:color w:val="7C5C3E"/>
          <w:sz w:val="20"/>
          <w:szCs w:val="20"/>
        </w:rPr>
        <w:t xml:space="preserve">?v=N</w:t>
      </w:r>
      <w:r>
        <w:t xml:space="preserve"> na css/js jest podbijany ręcznie przy każdej zmianie; </w:t>
      </w:r>
      <w:r>
        <w:rPr>
          <w:rFonts w:ascii="Consolas" w:cs="Consolas" w:eastAsia="Consolas" w:hAnsi="Consolas"/>
          <w:color w:val="7C5C3E"/>
          <w:sz w:val="20"/>
          <w:szCs w:val="20"/>
        </w:rPr>
        <w:t xml:space="preserve">index.html</w:t>
      </w:r>
      <w:r>
        <w:t xml:space="preserve"> ma meta no-cache. Rozważyć automatyzację numeru wersji.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Rozważyć ujednolicenie nazwy pliku 2026 </w:t>
      </w:r>
      <w:r>
        <w:t xml:space="preserve">(</w:t>
      </w:r>
      <w:r>
        <w:rPr>
          <w:rFonts w:ascii="Consolas" w:cs="Consolas" w:eastAsia="Consolas" w:hAnsi="Consolas"/>
          <w:color w:val="7C5C3E"/>
          <w:sz w:val="20"/>
          <w:szCs w:val="20"/>
        </w:rPr>
        <w:t xml:space="preserve">budget-data.json</w:t>
      </w:r>
      <w:r>
        <w:t xml:space="preserve"> → </w:t>
      </w:r>
      <w:r>
        <w:rPr>
          <w:rFonts w:ascii="Consolas" w:cs="Consolas" w:eastAsia="Consolas" w:hAnsi="Consolas"/>
          <w:color w:val="7C5C3E"/>
          <w:sz w:val="20"/>
          <w:szCs w:val="20"/>
        </w:rPr>
        <w:t xml:space="preserve">budget-2026.json</w:t>
      </w:r>
      <w:r>
        <w:t xml:space="preserve">) dla spójności — wymaga aktualizacji </w:t>
      </w:r>
      <w:r>
        <w:rPr>
          <w:rFonts w:ascii="Consolas" w:cs="Consolas" w:eastAsia="Consolas" w:hAnsi="Consolas"/>
          <w:color w:val="7C5C3E"/>
          <w:sz w:val="20"/>
          <w:szCs w:val="20"/>
        </w:rPr>
        <w:t xml:space="preserve">YEAR_FILES</w:t>
      </w:r>
      <w:r>
        <w:t xml:space="preserve"> i bootstrapu.</w:t>
      </w:r>
    </w:p>
    <w:p>
      <w:pPr>
        <w:pStyle w:val="Heading2"/>
      </w:pPr>
      <w:r>
        <w:t xml:space="preserve">6.4. Znane kwestie / pułapki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Stale cache na GitHub Pages </w:t>
      </w:r>
      <w:r>
        <w:t xml:space="preserve">bywa uporczywy — po wgraniu zalecać twarde odświeżenie / tryb incognito. To rozwiązany, ale powracający temat.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Liczba działów bywa 31 lub 32 </w:t>
      </w:r>
      <w:r>
        <w:t xml:space="preserve">(2011, 2018) — to poprawne, wynika z klasyfikacji danego roku; nie traktować jako błędu.</w:t>
      </w:r>
    </w:p>
    <w:p>
      <w:r>
        <w:br w:type="page"/>
      </w:r>
    </w:p>
    <w:p>
      <w:pPr>
        <w:pStyle w:val="Heading1"/>
      </w:pPr>
      <w:r>
        <w:t xml:space="preserve">7. Wskazówki do pracy w Claude Code</w:t>
      </w:r>
    </w:p>
    <w:p>
      <w:pPr>
        <w:spacing w:after="120" w:line="276"/>
      </w:pPr>
      <w:r>
        <w:t xml:space="preserve">Praktyczne zasady wynikające z dotychczasowej pracy nad projektem: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Dodawanie roku = </w:t>
      </w:r>
      <w:r>
        <w:t xml:space="preserve">wygeneruj </w:t>
      </w:r>
      <w:r>
        <w:rPr>
          <w:rFonts w:ascii="Consolas" w:cs="Consolas" w:eastAsia="Consolas" w:hAnsi="Consolas"/>
          <w:color w:val="7C5C3E"/>
          <w:sz w:val="20"/>
          <w:szCs w:val="20"/>
        </w:rPr>
        <w:t xml:space="preserve">budget-YYYY.json</w:t>
      </w:r>
      <w:r>
        <w:t xml:space="preserve"> → zweryfikuj 5 niezmienników (sekcja 3.3) → dodaj przycisk w </w:t>
      </w:r>
      <w:r>
        <w:rPr>
          <w:rFonts w:ascii="Consolas" w:cs="Consolas" w:eastAsia="Consolas" w:hAnsi="Consolas"/>
          <w:color w:val="7C5C3E"/>
          <w:sz w:val="20"/>
          <w:szCs w:val="20"/>
        </w:rPr>
        <w:t xml:space="preserve">index.html</w:t>
      </w:r>
      <w:r>
        <w:t xml:space="preserve"> → dopisz wpis w </w:t>
      </w:r>
      <w:r>
        <w:rPr>
          <w:rFonts w:ascii="Consolas" w:cs="Consolas" w:eastAsia="Consolas" w:hAnsi="Consolas"/>
          <w:color w:val="7C5C3E"/>
          <w:sz w:val="20"/>
          <w:szCs w:val="20"/>
        </w:rPr>
        <w:t xml:space="preserve">YEAR_FILES</w:t>
      </w:r>
      <w:r>
        <w:t xml:space="preserve"> → podbij </w:t>
      </w:r>
      <w:r>
        <w:rPr>
          <w:rFonts w:ascii="Consolas" w:cs="Consolas" w:eastAsia="Consolas" w:hAnsi="Consolas"/>
          <w:color w:val="7C5C3E"/>
          <w:sz w:val="20"/>
          <w:szCs w:val="20"/>
        </w:rPr>
        <w:t xml:space="preserve">?v=N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Zawsze weryfikuj sumy </w:t>
      </w:r>
      <w:r>
        <w:t xml:space="preserve">względem kwoty „Ogółem” z ustawy zanim uznasz rok za gotowy.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Czytaj podatki z ustawy, </w:t>
      </w:r>
      <w:r>
        <w:t xml:space="preserve">nie z pamięci modelu — to źródło realnych błędów.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Testuj oba widoki mobile i desktop </w:t>
      </w:r>
      <w:r>
        <w:t xml:space="preserve">oraz drill-down dla starszych lat po każdej zmianie struktury.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Trzymaj się estetyki: </w:t>
      </w:r>
      <w:r>
        <w:t xml:space="preserve">kremowe tło, brązowy akcent, minimalizm — nie nadmiarowe style.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Żadnego build-stepu — </w:t>
      </w:r>
      <w:r>
        <w:t xml:space="preserve">każdy plik musi dać się wgrać wprost na GitHub Pages.</w:t>
      </w:r>
    </w:p>
    <w:p>
      <w:pPr>
        <w:pBdr>
          <w:top w:val="single" w:color="D9D2C7" w:sz="4" w:space="8"/>
        </w:pBdr>
        <w:spacing w:before="200"/>
      </w:pPr>
      <w:r>
        <w:rPr>
          <w:color w:val="6B6258"/>
          <w:sz w:val="18"/>
          <w:szCs w:val="18"/>
        </w:rPr>
        <w:t xml:space="preserve">Koniec dokumentu · Terra Cracovianum · </w:t>
      </w:r>
      <w:r>
        <w:rPr>
          <w:color w:val="7C5C3E"/>
          <w:sz w:val="18"/>
          <w:szCs w:val="18"/>
        </w:rPr>
        <w:t xml:space="preserve">terracracovianum.org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4680"/>
        <w:tab w:val="right" w:pos="9360"/>
      </w:tabs>
    </w:pPr>
    <w:r>
      <w:rPr>
        <w:color w:val="6B6258"/>
        <w:sz w:val="16"/>
        <w:szCs w:val="16"/>
      </w:rPr>
      <w:t xml:space="preserve">terracracovianum.org</w:t>
    </w:r>
    <w:r>
      <w:rPr>
        <w:sz w:val="16"/>
        <w:szCs w:val="16"/>
      </w:rPr>
      <w:t xml:space="preserve">	</w:t>
    </w:r>
    <w:r>
      <w:rPr>
        <w:color w:val="6B6258"/>
        <w:sz w:val="16"/>
        <w:szCs w:val="16"/>
      </w:rPr>
      <w:t xml:space="preserve">Strona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2C7" w:sz="2" w:space="4"/>
      </w:pBdr>
      <w:tabs>
        <w:tab w:val="right" w:pos="9360"/>
      </w:tabs>
    </w:pPr>
    <w:r>
      <w:rPr>
        <w:color w:val="6B6258"/>
        <w:sz w:val="16"/>
        <w:szCs w:val="16"/>
      </w:rPr>
      <w:t xml:space="preserve">PRD — Budżet Polski</w:t>
    </w:r>
    <w:r>
      <w:rPr>
        <w:color w:val="6B6258"/>
        <w:sz w:val="16"/>
        <w:szCs w:val="16"/>
      </w:rPr>
      <w:t xml:space="preserve">	Terra Cracovianum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color w:val="7C5C3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2A26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D2C7" w:sz="4" w:space="4"/>
      </w:pBdr>
      <w:spacing w:after="160" w:before="280"/>
      <w:outlineLvl w:val="0"/>
    </w:pPr>
    <w:rPr>
      <w:rFonts w:ascii="Inter" w:cs="Inter" w:eastAsia="Inter" w:hAnsi="Inter"/>
      <w:b/>
      <w:bCs/>
      <w:color w:val="7C5C3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Inter" w:cs="Inter" w:eastAsia="Inter" w:hAnsi="Inter"/>
      <w:b/>
      <w:bCs/>
      <w:color w:val="2A2622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Inter" w:cs="Inter" w:eastAsia="Inter" w:hAnsi="Inter"/>
      <w:b/>
      <w:bCs/>
      <w:color w:val="6B625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2026-06-22T15:49:52.834Z</dcterms:created>
  <dcterms:modified xsi:type="dcterms:W3CDTF">2026-06-22T15:49:52.834Z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