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aps/>
          <w:color w:val="7C5C3E"/>
          <w:sz w:val="28"/>
          <w:szCs w:val="28"/>
        </w:rPr>
        <w:t xml:space="preserve">TERRA CRACOVIANUM</w:t>
      </w:r>
    </w:p>
    <w:p>
      <w:pPr>
        <w:spacing w:after="240"/>
        <w:jc w:val="center"/>
      </w:pPr>
      <w:r>
        <w:rPr>
          <w:i/>
          <w:iCs/>
          <w:color w:val="5A534B"/>
        </w:rPr>
        <w:t xml:space="preserve">Analiza danych publicznych</w:t>
      </w:r>
    </w:p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Product Requirements Document</w:t>
      </w:r>
    </w:p>
    <w:p>
      <w:pPr>
        <w:spacing w:after="40"/>
        <w:jc w:val="center"/>
      </w:pPr>
      <w:r>
        <w:rPr>
          <w:sz w:val="26"/>
          <w:szCs w:val="26"/>
        </w:rPr>
        <w:t xml:space="preserve">Budżet Polski — interaktywna wizualizacja budżetu państwa (2011–2026)</w:t>
      </w:r>
    </w:p>
    <w:p>
      <w:pPr>
        <w:spacing w:after="240"/>
        <w:jc w:val="center"/>
      </w:pPr>
      <w:r>
        <w:rPr>
          <w:i/>
          <w:iCs/>
          <w:color w:val="8C857B"/>
        </w:rPr>
        <w:t xml:space="preserve">Wersja szczegółowa 2.2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Pole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Wartość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Projekt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Budżet Polski — interaktywna wizualizacja wydatków i wykonania budżetu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Właściciel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Adam Markocki (Prezes, Stowarzyszenie Terra Cracovianum)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Status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Live / w rozwoju — 6 zakładek, wersja aplikacji 0.15 Beta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Hosting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GitHub Pages (statyczny, bez build-stepu)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Adres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https://nintindoadam.github.io/Budzet-Polski/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Repozytorium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NintindoAdam/Budzet-Polski (gałąź main)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Stack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HTML + CSS + vanilla JavaScript, D3.js v7 + d3-sankey (z CDN)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Zakres danych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Plan: ustawy budżetowe 2011–2026. Wykonanie: sprawozdanie MF 2025 (test)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Wersja dokumentu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2.2 — wersja szczegółowa (reference + handoff + interesariusze)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Data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Czerwiec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Streszczenie</w:t>
      </w:r>
    </w:p>
    <w:p>
      <w:pPr>
        <w:spacing w:after="160"/>
      </w:pPr>
      <w:r>
        <w:rPr>
          <w:sz w:val="24"/>
          <w:szCs w:val="24"/>
        </w:rPr>
        <w:t xml:space="preserve">Budżet Polski to jednostronicowa, statyczna aplikacja, która pokazuje obywatelowi, na co państwo wydaje pieniądze — w sposób przystępny, wiarygodny i porównywalny między latami 2011–2026. Dane pochodzą wprost z ustaw budżetowych (plan) oraz, dla roku 2025, ze sprawozdania Ministerstwa Finansów (wykonanie). Aplikacja nie wymaga serwera ani bazy danych: to zestaw plików wgrywanych wprost na GitHub Pages.</w:t>
      </w:r>
    </w:p>
    <w:p>
      <w:pPr>
        <w:spacing w:after="120"/>
      </w:pPr>
      <w:r>
        <w:t xml:space="preserve">Wiarygodność jest fundamentem projektu: sumy dla każdego roku zgadzają się co do tysiąca złotych z kwotą „Ogółem” z ustawy, dane kontekstowe (inflacja, ludność) pochodzą z GUS i są cytowane, a każde odejście od planu (np. wykonanie, ceny realne) jest wyraźnie oznaczone. Projekt jest w fazie beta i jest aktywnie rozwijany.</w:t>
      </w:r>
    </w:p>
    <w:p>
      <w:pPr>
        <w:pStyle w:val="Heading1"/>
      </w:pPr>
      <w:r>
        <w:t xml:space="preserve">1. Przegląd produktu</w:t>
      </w:r>
    </w:p>
    <w:p>
      <w:pPr>
        <w:spacing w:after="120"/>
      </w:pPr>
      <w:r>
        <w:t xml:space="preserve">Aplikacja prezentuje planowane wydatki budżetu państwa dla lat 2011–2026. Każdy rok to osobny zestaw danych wyciągnięty z ustawy budżetowej (załącznik nr 2 — wydatki). Użytkownik wybiera rok i ogląda dane w sześciu zakładkach. Szósta zakładka (Plan vs wykonanie) pojawia się tylko dla lat, dla których dostępne są dane o wykonaniu (na razie 2025).</w:t>
      </w:r>
    </w:p>
    <w:p>
      <w:pPr>
        <w:spacing w:after="120"/>
      </w:pPr>
      <w:r>
        <w:t xml:space="preserve">Cel: edukacja obywatelska. Problem: budżet państwa jest publiczny, ale nieczytelny — setki stron tabel. Rozwiązanie: interaktywna wizualizacja, w której wielkość pola odpowiada kwocie, a użytkownik może wejść w szczegóły i porównać lata. Odbiorca: obywatel, dziennikarz, nauczyciel, każdy zainteresowany finansami publicznymi.</w:t>
      </w:r>
    </w:p>
    <w:p>
      <w:pPr>
        <w:spacing w:after="120"/>
      </w:pPr>
      <w:r>
        <w:rPr>
          <w:b/>
          <w:bCs/>
        </w:rPr>
        <w:t xml:space="preserve">Zasada nadrzędna: kwoty budżetu to PLAN z ustawy, nie wykonanie — by porównania między latami były metodologicznie spójne. Wykonanie pojawia się wyłącznie w dedykowanej, wyraźnie oznaczonej zakładce.</w:t>
      </w:r>
    </w:p>
    <w:p>
      <w:pPr>
        <w:pStyle w:val="Heading2"/>
      </w:pPr>
      <w:r>
        <w:t xml:space="preserve">1.1. Kluczowe założenia projektowe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Brak build-stepu. Wszystkie pliki muszą dać się wgrać wprost na GitHub Pages — żadnego npm, kompilacji, bundlerów. Biblioteki z CDN.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Kwoty budżetu to plan, nie wykonanie (poza zakładką Plan vs wykonanie).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Weryfikacja co do złotówki. Sumy działów, części i typów = kwota „Ogółem” z ustawy (diff 0).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Dane zewnętrzne ze źródeł urzędowych. CPI i ludność z GUS (cytowane); wykonanie z MF. NBP API nie udostępnia inflacji.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Estetyka minimalistyczna („papierowa”). Kremowe tło, brązowy akcent (#7C5C3E), font Inter, ikony Tabler, logo SVG w nagłówku.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Mobile-first. Treemap → lista pasków, Sankey → układ pionowy; wykresy i zakładki dopasowują się do wąskich ekranów.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Tasteful motion. Animowane liczenie kwot, „pop” kafelków, łagodne przejścia; pełna obsługa prefers-reduced-motion.</w:t>
      </w:r>
    </w:p>
    <w:p>
      <w:pPr>
        <w:pStyle w:val="Heading2"/>
      </w:pPr>
      <w:r>
        <w:t xml:space="preserve">1.2. Słowniczek pojęć</w:t>
      </w:r>
    </w:p>
    <w:p>
      <w:pPr>
        <w:spacing w:after="70"/>
      </w:pPr>
      <w:r>
        <w:rPr>
          <w:b/>
          <w:bCs/>
        </w:rPr>
        <w:t xml:space="preserve">Plan — </w:t>
      </w:r>
      <w:r>
        <w:t xml:space="preserve">kwoty zapisane w ustawie budżetowej na dany rok (pierwotny limit). Podstawa porównań w aplikacji.</w:t>
      </w:r>
    </w:p>
    <w:p>
      <w:pPr>
        <w:spacing w:after="70"/>
      </w:pPr>
      <w:r>
        <w:rPr>
          <w:b/>
          <w:bCs/>
        </w:rPr>
        <w:t xml:space="preserve">Wykonanie — </w:t>
      </w:r>
      <w:r>
        <w:t xml:space="preserve">kwoty faktycznie zrealizowane, publikowane przez Ministerstwo Finansów w sprawozdaniu rocznym.</w:t>
      </w:r>
    </w:p>
    <w:p>
      <w:pPr>
        <w:spacing w:after="70"/>
      </w:pPr>
      <w:r>
        <w:rPr>
          <w:b/>
          <w:bCs/>
        </w:rPr>
        <w:t xml:space="preserve">Plan po zmianach — </w:t>
      </w:r>
      <w:r>
        <w:t xml:space="preserve">plan po nowelizacjach i uruchomieniu rezerw w trakcie roku. MF liczy stopień wykonania względem niego — stąd względem pierwotnej ustawy bywa &gt;100%.</w:t>
      </w:r>
    </w:p>
    <w:p>
      <w:pPr>
        <w:spacing w:after="70"/>
      </w:pPr>
      <w:r>
        <w:rPr>
          <w:b/>
          <w:bCs/>
        </w:rPr>
        <w:t xml:space="preserve">Dział — </w:t>
      </w:r>
      <w:r>
        <w:t xml:space="preserve">pozycja klasyfikacji budżetowej „na co” (np. 752 Obrona narodowa, 851 Ochrona zdrowia). 31–32 w roku.</w:t>
      </w:r>
    </w:p>
    <w:p>
      <w:pPr>
        <w:spacing w:after="70"/>
      </w:pPr>
      <w:r>
        <w:rPr>
          <w:b/>
          <w:bCs/>
        </w:rPr>
        <w:t xml:space="preserve">Część — </w:t>
      </w:r>
      <w:r>
        <w:t xml:space="preserve">pozycja klasyfikacji „kto wydaje” (dysponent, np. ministerstwo, województwo). 80–84 w roku.</w:t>
      </w:r>
    </w:p>
    <w:p>
      <w:pPr>
        <w:spacing w:after="70"/>
      </w:pPr>
      <w:r>
        <w:rPr>
          <w:b/>
          <w:bCs/>
        </w:rPr>
        <w:t xml:space="preserve">Rozdział — </w:t>
      </w:r>
      <w:r>
        <w:t xml:space="preserve">najniższy poziom klasyfikacji w obrębie działu (drill-down część → dział → rozdział).</w:t>
      </w:r>
    </w:p>
    <w:p>
      <w:pPr>
        <w:spacing w:after="70"/>
      </w:pPr>
      <w:r>
        <w:rPr>
          <w:b/>
          <w:bCs/>
        </w:rPr>
        <w:t xml:space="preserve">Typ wydatku — </w:t>
      </w:r>
      <w:r>
        <w:t xml:space="preserve">rodzaj wydatku (7 kategorii: świadczenia, dotacje i subwencje, wydatki bieżące, majątkowe, obsługa długu, środki UE, współfinansowanie).</w:t>
      </w:r>
    </w:p>
    <w:p>
      <w:pPr>
        <w:spacing w:after="70"/>
      </w:pPr>
      <w:r>
        <w:rPr>
          <w:b/>
          <w:bCs/>
        </w:rPr>
        <w:t xml:space="preserve">Rezerwa celowa — </w:t>
      </w:r>
      <w:r>
        <w:t xml:space="preserve">środki rozdysponowane w trakcie roku na konkretne cele; podnoszą wykonanie ponad pierwotny plan działu.</w:t>
      </w:r>
    </w:p>
    <w:p>
      <w:pPr>
        <w:spacing w:after="70"/>
      </w:pPr>
      <w:r>
        <w:rPr>
          <w:b/>
          <w:bCs/>
        </w:rPr>
        <w:t xml:space="preserve">CPI — </w:t>
      </w:r>
      <w:r>
        <w:t xml:space="preserve">średnioroczny wskaźnik cen towarów i usług konsumpcyjnych (inflacja), rok poprzedni = 100 (GUS).</w:t>
      </w:r>
    </w:p>
    <w:p>
      <w:pPr>
        <w:spacing w:after="70"/>
      </w:pPr>
      <w:r>
        <w:rPr>
          <w:b/>
          <w:bCs/>
        </w:rPr>
        <w:t xml:space="preserve">Deflator / ceny stałe — </w:t>
      </w:r>
      <w:r>
        <w:t xml:space="preserve">przeliczenie kwot z różnych lat na siłę nabywczą jednego roku (baza 2026), by porównania były uczciwe.</w:t>
      </w:r>
    </w:p>
    <w:p>
      <w:pPr>
        <w:spacing w:after="70"/>
      </w:pPr>
      <w:r>
        <w:rPr>
          <w:b/>
          <w:bCs/>
        </w:rPr>
        <w:t xml:space="preserve">Per capita — </w:t>
      </w:r>
      <w:r>
        <w:t xml:space="preserve">kwota na jednego mieszkańca = wartość ÷ liczba ludności (GUS).</w:t>
      </w:r>
    </w:p>
    <w:p>
      <w:pPr>
        <w:pStyle w:val="Heading1"/>
      </w:pPr>
      <w:r>
        <w:t xml:space="preserve">2. Funkcje (zakładki)</w:t>
      </w:r>
    </w:p>
    <w:p>
      <w:pPr>
        <w:spacing w:after="120"/>
      </w:pPr>
      <w:r>
        <w:t xml:space="preserve">Sześć zakładek. Pierwsze trzy pokazują wybrany rok; Trendy i Twoje podatki dodają kontekst wieloletni i osobisty; Plan vs wykonanie (warunkowa) zestawia plan z rzeczywistością.</w:t>
      </w:r>
    </w:p>
    <w:p>
      <w:pPr>
        <w:pStyle w:val="Heading2"/>
      </w:pPr>
      <w:r>
        <w:t xml:space="preserve">2.1. Mapa wydatków (treemap)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Pola proporcjonalne do kwot; kolor wg motywu wydatku (regex na nazwie w funkcji colorKey).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Drill-down na osi „kto wydaje”: część → dział → rozdział; breadcrumby do nawigacji wstecz.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Dwie osie: „na co (działy)” i „kto wydaje (części)”.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Mobile: zamiast treemapy lista pasków (top-12 + zwijane „Pozostałe”) — osobna ścieżka w JS.</w:t>
      </w:r>
    </w:p>
    <w:p>
      <w:pPr>
        <w:pStyle w:val="Heading2"/>
      </w:pPr>
      <w:r>
        <w:t xml:space="preserve">2.2. Przepływ (Sankey)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Diagram: źródła dochodów → budżet → największe obszary wydatków.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Czerwony strumień = deficyt (wydatki niepokryte dochodami); obsługa roku zbilansowanego (2020, deficyt 0).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Desktop: układ poziomy. Mobile: układ pionowy (transponowany).</w:t>
      </w:r>
    </w:p>
    <w:p>
      <w:pPr>
        <w:pStyle w:val="Heading2"/>
      </w:pPr>
      <w:r>
        <w:t xml:space="preserve">2.3. Rodzaj wydatku</w:t>
      </w:r>
    </w:p>
    <w:p>
      <w:pPr>
        <w:spacing w:after="120"/>
      </w:pPr>
      <w:r>
        <w:t xml:space="preserve">Poziome paski wg 7 typów wydatku (te same nazwy we wszystkich latach). Pokazuje, ile trafia do ludzi jako świadczenia, ile to inwestycje, ile bieżące utrzymanie państwa, a ile obsługa długu.</w:t>
      </w:r>
    </w:p>
    <w:p>
      <w:pPr>
        <w:pStyle w:val="Heading2"/>
      </w:pPr>
      <w:r>
        <w:t xml:space="preserve">2.4. Trendy (dashboard porównawczy 2011–2026)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Karty KPI: wzrost wydatków 2011→2026 (nominalnie +193%, realnie +75%), największy deficyt (2025), rok zbilansowany (2020), suma deficytów 2011–2026.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Wykres liniowy: wydatki / dochody / deficyt w czasie (tooltip ogniskujący).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Struktura wg rodzaju w czasie: kolumny skumulowane (16 lat × 7 typów).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Trend wybranego działu: lista ~29 działów obecnych we wszystkich latach (picker).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Przełącznik zł / udział (%) oraz przełącznik ceny bieżące / ceny stałe (2026).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Moduł „Największe zmiany”: porównanie dwóch wybranych lat (domyślnie 2011→2026), ranking wzrostów i spadków działów.</w:t>
      </w:r>
    </w:p>
    <w:p>
      <w:pPr>
        <w:pStyle w:val="Heading2"/>
      </w:pPr>
      <w:r>
        <w:t xml:space="preserve">2.5. Twoje podatki (ujęcie osobiste)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Karty „na obywatela” dla wybranego roku: wydatki, dochody, deficyt, kwota dzienna (2026: ok. 24 615 zł wydatków na osobę).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„Z każdych 1000 zł budżetu” — podział na największe działy.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„Gdyby to był Twój podatek” — pole na kwotę, podział wg struktury wydatków (ilustracja, nie rzeczywista alokacja).</w:t>
      </w:r>
    </w:p>
    <w:p>
      <w:pPr>
        <w:pStyle w:val="Heading2"/>
      </w:pPr>
      <w:r>
        <w:t xml:space="preserve">2.6. Plan vs wykonanie (test, 2025)</w:t>
      </w:r>
    </w:p>
    <w:p>
      <w:pPr>
        <w:spacing w:after="120"/>
      </w:pPr>
      <w:r>
        <w:t xml:space="preserve">Zakładka widoczna tylko dla lat z plikiem wykonania (rejestr WYK_FILES; obecnie 2025). Zawiera: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Podsumowanie zdaniem (dynamiczne): o ile % mniej/więcej wpłynęło i wydano oraz jak to wpłynęło na deficyt.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Karty KPI z odchyleniem Δ vs plan (kwota + %); deficyt niższy od planu oznaczony pozytywnie.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Słupki plan obok wykonania (szybkie porównanie wzrokiem).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Dochody wg źródła: plan vs wykonanie (VAT, akcyza, CIT, PIT, inne).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Stopień wykonania wg działów (lista 31 działów, % planu).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Największe odchylenia działów: powyżej i poniżej planu (w zł), z notką o rezerwach.</w:t>
      </w:r>
    </w:p>
    <w:p>
      <w:pPr>
        <w:spacing w:after="120"/>
      </w:pPr>
      <w:r>
        <w:rPr>
          <w:i/>
          <w:iCs/>
        </w:rPr>
        <w:t xml:space="preserve">Uwaga: porównanie z planem z pierwotnej ustawy; MF liczy względem planu po zmianach, więc bywa &gt;100%. Ok. 1,6 mld zł trafiło do działów spoza pierwotnego planu.</w:t>
      </w:r>
    </w:p>
    <w:p>
      <w:pPr>
        <w:pStyle w:val="Heading2"/>
      </w:pPr>
      <w:r>
        <w:t xml:space="preserve">2.7. Pasek lat i reaktywność</w:t>
      </w:r>
    </w:p>
    <w:p>
      <w:pPr>
        <w:spacing w:after="120"/>
      </w:pPr>
      <w:r>
        <w:t xml:space="preserve">Pasek 16 przycisków (2011–2026). Wybór roku leniwie ładuje plik danego roku, cache’uje i przerysowuje aktywny widok + statystyki, hero i nagłówek. Trendy / Twoje podatki / Plan vs wykonanie wczytują swoje dane (trends-data.json / context-data.json / wykonanie-YYYY.json) przy pierwszym otwarciu. Kwoty liczą się animowanie (count-up).</w:t>
      </w:r>
    </w:p>
    <w:p>
      <w:pPr>
        <w:pStyle w:val="Heading2"/>
      </w:pPr>
      <w:r>
        <w:t xml:space="preserve">2.8. Warstwa animacji</w:t>
      </w:r>
    </w:p>
    <w:p>
      <w:pPr>
        <w:spacing w:after="120"/>
      </w:pPr>
      <w:r>
        <w:t xml:space="preserve">Tokeny easing w CSS (cubic-bezier), czasy &lt;300 ms. Animacje: liczenie kwot (count-up), wejście kafelków treemapy ze skalowaniem („pop”), rozmycie-przenikanie przy zmianie roku, rysowanie linii na wykresach, „rośnięcie” pasków, reakcja przycisków na kliknięcie. Hover tylko na urządzeniach wskazujących (gating). Pełna obsługa prefers-reduced-motion (ruch wyłączony, czytelność zachowana).</w:t>
      </w:r>
    </w:p>
    <w:p>
      <w:pPr>
        <w:pStyle w:val="Heading2"/>
      </w:pPr>
      <w:r>
        <w:t xml:space="preserve">2.9. Logo, wersja, stopka</w:t>
      </w:r>
    </w:p>
    <w:p>
      <w:pPr>
        <w:spacing w:after="120"/>
      </w:pPr>
      <w:r>
        <w:t xml:space="preserve">W nagłówku logo stowarzyszenia (logo.svg, nieklikalne, 56/44 px). Stopka: źródło danych, „© 2026 Stowarzyszenie Terra Cracovianum”, link do terracracovianum.org oraz „wersja 0.15 Beta”. W treści nie używamy pauz (—).</w:t>
      </w:r>
    </w:p>
    <w:p>
      <w:pPr>
        <w:pStyle w:val="Heading1"/>
      </w:pPr>
      <w:r>
        <w:t xml:space="preserve">3. Model danych</w:t>
      </w:r>
    </w:p>
    <w:p>
      <w:pPr>
        <w:spacing w:after="120"/>
      </w:pPr>
      <w:r>
        <w:t xml:space="preserve">Wszystkie kwoty w tysiącach złotych (tys. zł), o ile nie zaznaczono inaczej. Pliki JSON wgrywane statycznie, ładowane leniwie przez fetch.</w:t>
      </w:r>
    </w:p>
    <w:p>
      <w:pPr>
        <w:pStyle w:val="Heading2"/>
      </w:pPr>
      <w:r>
        <w:t xml:space="preserve">3.1. budget-YYYY.json (plan roczny)</w:t>
      </w:r>
    </w:p>
    <w:p>
      <w:pPr>
        <w:spacing w:after="120"/>
      </w:pPr>
      <w:r>
        <w:t xml:space="preserve">Plik na każdy rok (uwaga: rok 2026 to budget-data.json, nie budget-2026.json). Schemat:</w:t>
      </w:r>
    </w:p>
    <w:p>
      <w:pPr>
        <w:spacing w:after="100"/>
      </w:pPr>
      <w:r>
        <w:rPr>
          <w:rFonts w:ascii="Consolas" w:cs="Consolas" w:eastAsia="Consolas" w:hAnsi="Consolas"/>
          <w:color w:val="3C3489"/>
          <w:sz w:val="18"/>
          <w:szCs w:val="18"/>
        </w:rPr>
        <w:t xml:space="preserve">meta { rok, ustawa, wydatki, dochody, deficyt, jednostka, typ,</w:t>
      </w:r>
    </w:p>
    <w:p>
      <w:pPr>
        <w:spacing w:after="100"/>
      </w:pPr>
      <w:r>
        <w:rPr>
          <w:rFonts w:ascii="Consolas" w:cs="Consolas" w:eastAsia="Consolas" w:hAnsi="Consolas"/>
          <w:color w:val="3C3489"/>
          <w:sz w:val="18"/>
          <w:szCs w:val="18"/>
        </w:rPr>
        <w:t xml:space="preserve">       [dlug_pkb_proc], [obrona_pkb_proc] }</w:t>
      </w:r>
    </w:p>
    <w:p>
      <w:pPr>
        <w:spacing w:after="100"/>
      </w:pPr>
      <w:r>
        <w:rPr>
          <w:rFonts w:ascii="Consolas" w:cs="Consolas" w:eastAsia="Consolas" w:hAnsi="Consolas"/>
          <w:color w:val="3C3489"/>
          <w:sz w:val="18"/>
          <w:szCs w:val="18"/>
        </w:rPr>
        <w:t xml:space="preserve">dochody[] { name, plan }        // strona dochodów (Sankey)</w:t>
      </w:r>
    </w:p>
    <w:p>
      <w:pPr>
        <w:spacing w:after="100"/>
      </w:pPr>
      <w:r>
        <w:rPr>
          <w:rFonts w:ascii="Consolas" w:cs="Consolas" w:eastAsia="Consolas" w:hAnsi="Consolas"/>
          <w:color w:val="3C3489"/>
          <w:sz w:val="18"/>
          <w:szCs w:val="18"/>
        </w:rPr>
        <w:t xml:space="preserve">dzialy[]  { code, name, plan }  // widok „na co” (31–32)</w:t>
      </w:r>
    </w:p>
    <w:p>
      <w:pPr>
        <w:spacing w:after="100"/>
      </w:pPr>
      <w:r>
        <w:rPr>
          <w:rFonts w:ascii="Consolas" w:cs="Consolas" w:eastAsia="Consolas" w:hAnsi="Consolas"/>
          <w:color w:val="3C3489"/>
          <w:sz w:val="18"/>
          <w:szCs w:val="18"/>
        </w:rPr>
        <w:t xml:space="preserve">czesci[]  { code, name, plan, dzialy:[ { code,name,plan,</w:t>
      </w:r>
    </w:p>
    <w:p>
      <w:pPr>
        <w:spacing w:after="100"/>
      </w:pPr>
      <w:r>
        <w:rPr>
          <w:rFonts w:ascii="Consolas" w:cs="Consolas" w:eastAsia="Consolas" w:hAnsi="Consolas"/>
          <w:color w:val="3C3489"/>
          <w:sz w:val="18"/>
          <w:szCs w:val="18"/>
        </w:rPr>
        <w:t xml:space="preserve">            rozdzialy:[ {code,name,plan} ] } ] }  // drill</w:t>
      </w:r>
    </w:p>
    <w:p>
      <w:pPr>
        <w:spacing w:after="100"/>
      </w:pPr>
      <w:r>
        <w:rPr>
          <w:rFonts w:ascii="Consolas" w:cs="Consolas" w:eastAsia="Consolas" w:hAnsi="Consolas"/>
          <w:color w:val="3C3489"/>
          <w:sz w:val="18"/>
          <w:szCs w:val="18"/>
        </w:rPr>
        <w:t xml:space="preserve">typy[]    { name, plan }        // 7 rodzajów wydatku</w:t>
      </w:r>
    </w:p>
    <w:p>
      <w:pPr>
        <w:spacing w:after="120"/>
      </w:pPr>
      <w:r>
        <w:t xml:space="preserve">Podatki (VAT/akcyza/CIT/PIT) w dochody[] czytane z załącznika 1 ustawy. Pola dlug_pkb_proc / obrona_pkb_proc występują tylko dla 2026.</w:t>
      </w:r>
    </w:p>
    <w:p>
      <w:pPr>
        <w:pStyle w:val="Heading2"/>
      </w:pPr>
      <w:r>
        <w:t xml:space="preserve">3.2. trends-data.json (generowany)</w:t>
      </w:r>
    </w:p>
    <w:p>
      <w:pPr>
        <w:spacing w:after="120"/>
      </w:pPr>
      <w:r>
        <w:t xml:space="preserve">Kompaktowa seria do zakładki Trendy, tworzona przez gen-trends.py z 16 plików rocznych. Per rok: wydatki, dochody, deficyt, typy[], dzialy[] ze znormalizowanymi nazwami (naprawione artefakty kodowania z 2011 i warianty pisowni, by linie kategorii były ciągłe). Przykłady normalizacji:</w:t>
      </w:r>
    </w:p>
    <w:p>
      <w:pPr>
        <w:spacing w:after="100"/>
      </w:pPr>
      <w:r>
        <w:rPr>
          <w:rFonts w:ascii="Consolas" w:cs="Consolas" w:eastAsia="Consolas" w:hAnsi="Consolas"/>
          <w:color w:val="3C3489"/>
          <w:sz w:val="18"/>
          <w:szCs w:val="18"/>
        </w:rPr>
        <w:t xml:space="preserve">OĞwiata → Oświata · RóĪne → Różne · LeĞnictwo → Leśnictwo</w:t>
      </w:r>
    </w:p>
    <w:p>
      <w:pPr>
        <w:spacing w:after="100"/>
      </w:pPr>
      <w:r>
        <w:rPr>
          <w:rFonts w:ascii="Consolas" w:cs="Consolas" w:eastAsia="Consolas" w:hAnsi="Consolas"/>
          <w:color w:val="3C3489"/>
          <w:sz w:val="18"/>
          <w:szCs w:val="18"/>
        </w:rPr>
        <w:t xml:space="preserve">„...ppoż.” → „...przeciwpożarowa” · Szkolnictwo wyĪsze → wyższe</w:t>
      </w:r>
    </w:p>
    <w:p>
      <w:pPr>
        <w:spacing w:after="120"/>
      </w:pPr>
      <w:r>
        <w:rPr>
          <w:i/>
          <w:iCs/>
        </w:rPr>
        <w:t xml:space="preserve">Plik jest DERYWOWANY — nie edytować ręcznie; regeneracja: python3 gen-trends.py.</w:t>
      </w:r>
    </w:p>
    <w:p>
      <w:pPr>
        <w:pStyle w:val="Heading2"/>
      </w:pPr>
      <w:r>
        <w:t xml:space="preserve">3.3. context-data.json (CPI + ludność, GUS)</w:t>
      </w:r>
    </w:p>
    <w:p>
      <w:pPr>
        <w:spacing w:after="120"/>
      </w:pPr>
      <w:r>
        <w:t xml:space="preserve">Ręcznie utrzymywany (nie generowany). Per rok: cpi (średnioroczny wskaźnik cen, rok poprzedni = 100) i ludnosc (stan 31.12). Blok zrodla cytuje źródła. Inflacja 2026 (3,0%) to prognoza (prognoza: true). Pełne dane: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Rok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CPI (śr., poprz.=100)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Ludność (31.12)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104,3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38 538 447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103,7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38 533 300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100,9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38 495 700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100,0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38 478 600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99,1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38 437 200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99,4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38 433 000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102,0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38 434 000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101,6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38 411 000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102,3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38 383 000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103,4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38 268 000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105,1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37 907 000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114,4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37 766 000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111,4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37 637 000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103,6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37 489 000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103,6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37 333 000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103,0 (prognoza)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37 333 000 (szac.)</w:t>
            </w:r>
          </w:p>
        </w:tc>
      </w:tr>
    </w:tbl>
    <w:p>
      <w:pPr>
        <w:spacing w:after="120"/>
      </w:pPr>
      <w:r>
        <w:rPr>
          <w:i/>
          <w:iCs/>
        </w:rPr>
        <w:t xml:space="preserve">Skumulowana inflacja 2011→2026 ≈ +67%. Zasila: wartości realne w Trendy (deflator, baza 2026), Twoje podatki (na obywatela), Największe zmiany.</w:t>
      </w:r>
    </w:p>
    <w:p>
      <w:pPr>
        <w:pStyle w:val="Heading2"/>
      </w:pPr>
      <w:r>
        <w:t xml:space="preserve">3.4. wykonanie-YYYY.json (plan vs wykonanie)</w:t>
      </w:r>
    </w:p>
    <w:p>
      <w:pPr>
        <w:spacing w:after="120"/>
      </w:pPr>
      <w:r>
        <w:t xml:space="preserve">Ręcznie utrzymywany; na razie tylko wykonanie-2025.json, wyciągnięty ze sprawozdania MF. Schemat:</w:t>
      </w:r>
    </w:p>
    <w:p>
      <w:pPr>
        <w:spacing w:after="100"/>
      </w:pPr>
      <w:r>
        <w:rPr>
          <w:rFonts w:ascii="Consolas" w:cs="Consolas" w:eastAsia="Consolas" w:hAnsi="Consolas"/>
          <w:color w:val="3C3489"/>
          <w:sz w:val="18"/>
          <w:szCs w:val="18"/>
        </w:rPr>
        <w:t xml:space="preserve">meta { rok, typ:"wykonanie", jednostka, zrodlo, ... }</w:t>
      </w:r>
    </w:p>
    <w:p>
      <w:pPr>
        <w:spacing w:after="100"/>
      </w:pPr>
      <w:r>
        <w:rPr>
          <w:rFonts w:ascii="Consolas" w:cs="Consolas" w:eastAsia="Consolas" w:hAnsi="Consolas"/>
          <w:color w:val="3C3489"/>
          <w:sz w:val="18"/>
          <w:szCs w:val="18"/>
        </w:rPr>
        <w:t xml:space="preserve">wykonanie { wydatki, dochody, deficyt }       // top-line</w:t>
      </w:r>
    </w:p>
    <w:p>
      <w:pPr>
        <w:spacing w:after="100"/>
      </w:pPr>
      <w:r>
        <w:rPr>
          <w:rFonts w:ascii="Consolas" w:cs="Consolas" w:eastAsia="Consolas" w:hAnsi="Consolas"/>
          <w:color w:val="3C3489"/>
          <w:sz w:val="18"/>
          <w:szCs w:val="18"/>
        </w:rPr>
        <w:t xml:space="preserve">dochody { VAT, Akcyza, CIT, PIT }             // „Inne” = reszta</w:t>
      </w:r>
    </w:p>
    <w:p>
      <w:pPr>
        <w:spacing w:after="100"/>
      </w:pPr>
      <w:r>
        <w:rPr>
          <w:rFonts w:ascii="Consolas" w:cs="Consolas" w:eastAsia="Consolas" w:hAnsi="Consolas"/>
          <w:color w:val="3C3489"/>
          <w:sz w:val="18"/>
          <w:szCs w:val="18"/>
        </w:rPr>
        <w:t xml:space="preserve">dzialy { "&lt;kod&gt;": kwota, ... }                // wykonanie wg działów</w:t>
      </w:r>
    </w:p>
    <w:p>
      <w:pPr>
        <w:spacing w:after="120"/>
      </w:pPr>
      <w:r>
        <w:t xml:space="preserve">Zakładka łączy te dane z planem z budget-YYYY.json po kodzie działu / nazwie dochodu i liczy stopień wykonania. Rejestr WYK_FILES w app.js mapuje rok → plik.</w:t>
      </w:r>
    </w:p>
    <w:p>
      <w:pPr>
        <w:pStyle w:val="Heading2"/>
      </w:pPr>
      <w:r>
        <w:t xml:space="preserve">3.5. Niezmienniki (KRYTYCZNE)</w:t>
      </w:r>
    </w:p>
    <w:p>
      <w:pPr>
        <w:spacing w:after="120"/>
      </w:pPr>
      <w:r>
        <w:t xml:space="preserve">Muszą być spełnione dla każdego nowego lub zmienionego pliku rocznego planu: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suma dzialy[].plan == meta.wydatki (diff 0)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suma czesci[].plan == meta.wydatki (diff 0)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suma typy[].plan == meta.wydatki (diff 0)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dla każdej części: suma jej dzialy[].plan == czesc.plan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meta.deficyt == meta.wydatki − meta.dochody (0 dla 2020)</w:t>
      </w:r>
    </w:p>
    <w:p>
      <w:pPr>
        <w:spacing w:after="120"/>
      </w:pPr>
      <w:r>
        <w:rPr>
          <w:i/>
          <w:iCs/>
        </w:rPr>
        <w:t xml:space="preserve">gen-trends.py weryfikuje punkty 1 i 3 dla każdego roku i odmawia zapisu przy niezgodności.</w:t>
      </w:r>
    </w:p>
    <w:p>
      <w:pPr>
        <w:pStyle w:val="Heading1"/>
      </w:pPr>
      <w:r>
        <w:t xml:space="preserve">4. Architektura kodu (app.js)</w:t>
      </w:r>
    </w:p>
    <w:p>
      <w:pPr>
        <w:spacing w:after="120"/>
      </w:pPr>
      <w:r>
        <w:t xml:space="preserve">Cała logika w jednym pliku (IIFE), vanilla JS + D3, bez modułów i bez transpilacji (styl ES5: var, funkcje, IIFE).</w:t>
      </w:r>
    </w:p>
    <w:p>
      <w:pPr>
        <w:pStyle w:val="Heading2"/>
      </w:pPr>
      <w:r>
        <w:t xml:space="preserve">4.1. Stan globalny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Zmienna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Rola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DATA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Dane aktualnie wyświetlanego roku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YEAR / YEAR_CACHE / YEAR_FILES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Aktualny rok / cache plików / mapowanie rok → plik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view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Aktywny widok: tree | flow | type | trends | taxes | exec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axis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Oś treemapy: dzialy | czesci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path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Ścieżka drill-downu (breadcrumby)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TRENDS / CONTEXT / PRICE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Cache: trends-data.json / context-data.json / indeks poziomu cen (CPI)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trendsMode / trendsReal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Tryb zł vs % / ceny bieżące vs stałe (Trendy)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moversFrom / moversTo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Lata porównania w module Największe zmiany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taxAmount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Kwota wpisana w „Twój podatek”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WYK_FILES / WYK_CACHE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Mapowanie rok → plik wykonania / cache (Plan vs wykonanie)</w:t>
            </w:r>
          </w:p>
        </w:tc>
      </w:tr>
    </w:tbl>
    <w:p>
      <w:pPr>
        <w:pStyle w:val="Heading2"/>
      </w:pPr>
      <w:r>
        <w:t xml:space="preserve">4.2. Kluczowe funkcje (wg zakładki)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Rdzeń: setYear() · renderStats() · switchView() · setAxis() · onResize().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Mapa/Przepływ/Rodzaj: drawTree() (+ desktop/mobile) · drawSankey() · drawTypes().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Trendy: drawTrends() / drawTrendCharts() · drawTrendKPIs() · drawMovers() · setTrendsMode() / setTrendsReal() · loadTrends().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Kontekst/inflacja: loadContext() · deflate(val, rok) · priceLevel() (baza 2026).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Twoje podatki: drawTaxes() · drawTaxKPIs() · drawTax1000() · drawTaxSplit().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Plan vs wykonanie: loadExec() · drawExec() · drawExecSummary() · drawExecKPIs() · drawExecBars() · drawExecDochody() · drawExecList() · drawExecOdchylenia() · updateExecTab().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Pomocnicze (reużywane): money() / moneyShort() · colorKey() / typeColorKey() / CMAP · tweenValue() (count-up) · escapeHtml().</w:t>
      </w:r>
    </w:p>
    <w:p>
      <w:pPr>
        <w:pStyle w:val="Heading2"/>
      </w:pPr>
      <w:r>
        <w:t xml:space="preserve">4.3. Przepływ danych</w:t>
      </w:r>
    </w:p>
    <w:p>
      <w:pPr>
        <w:spacing w:after="120"/>
      </w:pPr>
      <w:r>
        <w:t xml:space="preserve">Start: fetch budget-data.json (2026) → render. Zmiana roku: setYear leniwie ładuje plik, cache’uje (YEAR_CACHE), przerysowuje aktywny widok. Zakładki z danymi zewnętrznymi ładują je raz przy pierwszym otwarciu i trzymają w cache (TRENDS, CONTEXT, WYK_CACHE). Brak serwera — wszystko po stronie przeglądarki.</w:t>
      </w:r>
    </w:p>
    <w:p>
      <w:pPr>
        <w:pStyle w:val="Heading2"/>
      </w:pPr>
      <w:r>
        <w:t xml:space="preserve">4.4. Responsywność i animacje</w:t>
      </w:r>
    </w:p>
    <w:p>
      <w:pPr>
        <w:spacing w:after="120"/>
      </w:pPr>
      <w:r>
        <w:t xml:space="preserve">Breakpoint 760 px (plus fallback dla ekranów dotykowych &lt;900 px). Na mobile JS przełącza treemap na listę pasków, Sankey na układ pionowy; wykresy i 6 zakładek dopasowują się (zakładki zawijają się do wielu rzędów). Animacje: tylko transform/opacity, własne krzywe easing, hover za @media (hover: hover), pełne prefers-reduced-motion.</w:t>
      </w:r>
    </w:p>
    <w:p>
      <w:pPr>
        <w:pStyle w:val="Heading1"/>
      </w:pPr>
      <w:r>
        <w:t xml:space="preserve">5. Dane i źródła</w:t>
      </w:r>
    </w:p>
    <w:p>
      <w:pPr>
        <w:pStyle w:val="Heading2"/>
      </w:pPr>
      <w:r>
        <w:t xml:space="preserve">5.1. Lata gotowe (plan, 2011–2026)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200"/>
        <w:gridCol w:w="2100"/>
        <w:gridCol w:w="3776"/>
      </w:tblGrid>
      <w:tr>
        <w:trPr>
          <w:tblHeader/>
        </w:trP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Rok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Wydatki (mld)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Deficyt (mld)</w:t>
            </w:r>
          </w:p>
        </w:tc>
        <w:tc>
          <w:tcPr>
            <w:tcW w:type="dxa" w:w="3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Uwagi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313,3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40,2</w:t>
            </w:r>
          </w:p>
        </w:tc>
        <w:tc>
          <w:tcPr>
            <w:tcW w:type="dxa" w:w="3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font Univers; dział 756 domknięty ręcznie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2012–2017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328,8 → 384,8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35,0 → 59,3</w:t>
            </w:r>
          </w:p>
        </w:tc>
        <w:tc>
          <w:tcPr>
            <w:tcW w:type="dxa" w:w="3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parser czysty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2018–2019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397,2 / 416,2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41,5 / 28,5</w:t>
            </w:r>
          </w:p>
        </w:tc>
        <w:tc>
          <w:tcPr>
            <w:tcW w:type="dxa" w:w="3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32 / 31 działów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435,3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0</w:t>
            </w:r>
          </w:p>
        </w:tc>
        <w:tc>
          <w:tcPr>
            <w:tcW w:type="dxa" w:w="3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budżet zbilansowany (pierwotna ustawa)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2021–2024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486,8 → 866,4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82,3 → 184,0</w:t>
            </w:r>
          </w:p>
        </w:tc>
        <w:tc>
          <w:tcPr>
            <w:tcW w:type="dxa" w:w="3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części 48/89 domknięte ręcznie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921,6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288,8</w:t>
            </w:r>
          </w:p>
        </w:tc>
        <w:tc>
          <w:tcPr>
            <w:tcW w:type="dxa" w:w="3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reforma JST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918,9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271,7</w:t>
            </w:r>
          </w:p>
        </w:tc>
        <w:tc>
          <w:tcPr>
            <w:tcW w:type="dxa" w:w="3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ma dlug_pkb_proc; rok domyślny</w:t>
            </w:r>
          </w:p>
        </w:tc>
      </w:tr>
    </w:tbl>
    <w:p>
      <w:pPr>
        <w:pStyle w:val="Heading2"/>
      </w:pPr>
      <w:r>
        <w:t xml:space="preserve">5.2. Format ustaw i parser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2012–2026: font Times New Roman (ISAP). Parser uniwersalny, sumy zgadzają się bez poprawek.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2011: font Univers, tekst wyciągalny; wymaga domknięcia zawijanej nazwy działu 756.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2010: części nie domykają się czysto (luka ~16,6 mln). NIEZROBIONE.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2005–2009: stary font z popsutym kodowaniem; wymaga OCR. ŚWIADOMIE POMINIĘTE.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Podatki (VAT/akcyza/CIT/PIT) MUSZĄ być czytane z załącznika 1 ustawy — nigdy z pamięci.</w:t>
      </w:r>
    </w:p>
    <w:p>
      <w:pPr>
        <w:pStyle w:val="Heading2"/>
      </w:pPr>
      <w:r>
        <w:t xml:space="preserve">5.3. Dane kontekstowe (CPI, ludność) — źródła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CPI: GUS — „Roczne wskaźniki cen towarów i usług konsumpcyjnych od 1950 r.”; komunikat Prezesa GUS z 15.01.2026 (M.P. 2026 poz. 81) dla 2025 r. Inflacja 2026 (3,0%): założenia makroekonomiczne do ustawy budżetowej na 2026 r. (PROGNOZA).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Ludność: GUS — stan w dniu 31 grudnia (dla 2026 ostatni dostępny szacunek).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NBP API (api.nbp.pl) udostępnia tylko kursy walut i ceny złota — NIE zawiera CPI. Dlatego CPI zapisujemy statycznie z GUS.</w:t>
      </w:r>
    </w:p>
    <w:p>
      <w:pPr>
        <w:pStyle w:val="Heading2"/>
      </w:pPr>
      <w:r>
        <w:t xml:space="preserve">5.4. Wykonanie 2025 (źródło MF)</w:t>
      </w:r>
    </w:p>
    <w:p>
      <w:pPr>
        <w:spacing w:after="120"/>
      </w:pPr>
      <w:r>
        <w:t xml:space="preserve">Źródło: Ministerstwo Finansów — Omówienie sprawozdania z wykonania budżetu państwa za 1.01–31.12.2025. Wielkości ogółem: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700"/>
        <w:gridCol w:w="1300"/>
        <w:gridCol w:w="24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Pozycja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Plan (ustawa)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Wykonanie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% planu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Odchylenie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Wydatki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921,6 mld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870,2 mld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94,4%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−51,4 mld (−5,6%)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Dochody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632,8 mld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594,5 mld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94,0%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−38,3 mld (−6,1%)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Deficyt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288,8 mld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275,7 mld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95,5%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−13,1 mld (−4,5%)</w:t>
            </w:r>
          </w:p>
        </w:tc>
      </w:tr>
    </w:tbl>
    <w:p>
      <w:pPr>
        <w:spacing w:after="120"/>
      </w:pPr>
      <w:r>
        <w:t xml:space="preserve">Dochody wg źródła (plan vs wykonanie):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400"/>
        <w:gridCol w:w="21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Źródło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Plan (mld)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Wykonanie (mld)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% planu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VAT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349,5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321,6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92%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Akcyza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98,1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92,5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94%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CIT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70,7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63,7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90%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PIT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31,7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28,8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91%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Inne (reszta)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82,7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≈ 87,9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≈ 106%</w:t>
            </w:r>
          </w:p>
        </w:tc>
      </w:tr>
    </w:tbl>
    <w:p>
      <w:pPr>
        <w:spacing w:after="120"/>
      </w:pPr>
      <w:r>
        <w:rPr>
          <w:i/>
          <w:iCs/>
        </w:rPr>
        <w:t xml:space="preserve">Wniosek: duże podatki wpłynęły poniżej planu, ale „inne dochody” powyżej; mimo niższych dochodów niższe były też wydatki, więc deficyt wyszedł o 4,5% niższy od planu.</w:t>
      </w:r>
    </w:p>
    <w:p>
      <w:pPr>
        <w:pStyle w:val="Heading1"/>
      </w:pPr>
      <w:r>
        <w:t xml:space="preserve">6. Operacje i runbooki</w:t>
      </w:r>
    </w:p>
    <w:p>
      <w:pPr>
        <w:pStyle w:val="Heading2"/>
      </w:pPr>
      <w:r>
        <w:t xml:space="preserve">6.1. Deploy (publikacja)</w:t>
      </w:r>
    </w:p>
    <w:p>
      <w:pPr>
        <w:spacing w:after="120"/>
      </w:pPr>
      <w:r>
        <w:t xml:space="preserve">Folder roboczy NIE jest repozytorium git. Publikacja: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Sklonuj NintindoAdam/Budzet-Polski do katalogu tymczasowego.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Skopiuj zmienione pliki (index.html, style.css, app.js, *.json).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Commit i push na gałąź main.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Poczekaj ~1–2 min (GitHub Pages), sprawdź na żywo nowy ?v= i twarde odświeżenie (Cmd+Shift+R).</w:t>
      </w:r>
    </w:p>
    <w:p>
      <w:pPr>
        <w:spacing w:after="120"/>
      </w:pPr>
      <w:r>
        <w:rPr>
          <w:i/>
          <w:iCs/>
        </w:rPr>
        <w:t xml:space="preserve">Publikacja to działanie na zewnątrz — pytaj o zgodę przed każdym pushem.</w:t>
      </w:r>
    </w:p>
    <w:p>
      <w:pPr>
        <w:pStyle w:val="Heading2"/>
      </w:pPr>
      <w:r>
        <w:t xml:space="preserve">6.2. Cache-busting / wersjonowanie</w:t>
      </w:r>
    </w:p>
    <w:p>
      <w:pPr>
        <w:spacing w:after="120"/>
      </w:pPr>
      <w:r>
        <w:t xml:space="preserve">index.html wysyła meta no-cache, a odnośniki css/js mają parametr ?v=N (obecnie v=21). Przy każdej zmianie css/js PODBIJ ?v=N, by ominąć uporczywy cache GitHub Pages. Etykieta „wersja 0.15 Beta” w stopce to wersja produktu (niezależna od ?v=).</w:t>
      </w:r>
    </w:p>
    <w:p>
      <w:pPr>
        <w:pStyle w:val="Heading2"/>
      </w:pPr>
      <w:r>
        <w:t xml:space="preserve">6.3. Dodanie roku (planu)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Wygeneruj budget-YYYY.json (skrypty parsujące poza repo).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Zweryfikuj 5 niezmienników względem kwoty „Ogółem” z ustawy.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Dodaj przycisk roku w index.html i wpis w YEAR_FILES (app.js).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Uruchom python3 gen-trends.py (regeneracja trends-data.json).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Dopisz cpi i ludnosc dla roku w context-data.json (ze źródłem GUS).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Podbij ?v=N, przetestuj, wdróż.</w:t>
      </w:r>
    </w:p>
    <w:p>
      <w:pPr>
        <w:pStyle w:val="Heading2"/>
      </w:pPr>
      <w:r>
        <w:t xml:space="preserve">6.4. Dodanie wykonania roku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Wyciągnij ze sprawozdania MF: top-line (wydatki/dochody/deficyt), dochody wg źródła (VAT/akcyza/CIT/PIT), wykonanie wg działów (kod → kwota).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Zapisz wykonanie-YYYY.json (ze źródłem w meta).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Dopisz rok do WYK_FILES w app.js — zakładka Plan vs wykonanie pojawi się automatycznie dla tego roku.</w:t>
      </w:r>
    </w:p>
    <w:p>
      <w:pPr>
        <w:pStyle w:val="Heading2"/>
      </w:pPr>
      <w:r>
        <w:t xml:space="preserve">6.5. Testowanie</w:t>
      </w:r>
    </w:p>
    <w:p>
      <w:pPr>
        <w:spacing w:after="120"/>
      </w:pPr>
      <w:r>
        <w:t xml:space="preserve">Po każdej zmianie struktury: testuj desktop i mobile (375 px) oraz drill-down (mobile to osobna ścieżka w JS, nie tylko CSS). Sprawdź brak błędów w konsoli, brak poziomego scrolla, działanie prefers-reduced-motion. Narzędzie: headless browser (gstack browse).</w:t>
      </w:r>
    </w:p>
    <w:p>
      <w:pPr>
        <w:pStyle w:val="Heading1"/>
      </w:pPr>
      <w:r>
        <w:t xml:space="preserve">7. Backlog i kierunki rozwoju</w:t>
      </w:r>
    </w:p>
    <w:p>
      <w:pPr>
        <w:pStyle w:val="Heading2"/>
      </w:pPr>
      <w:r>
        <w:t xml:space="preserve">7.1. Zrobione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Trendy (porównywarka lat), wartości realne (inflacja), Twoje podatki (na obywatela), Największe zmiany.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Plan vs wykonanie (test 2025) z pełnym rozbiciem (Δ, dochody wg źródła, odchylenia).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Warstwa animacji, logo SVG, porządki w treści, oznaczenie wersji.</w:t>
      </w:r>
    </w:p>
    <w:p>
      <w:pPr>
        <w:pStyle w:val="Heading2"/>
      </w:pPr>
      <w:r>
        <w:t xml:space="preserve">7.2. Otwarte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Plan vs wykonanie dla lat 2011–2024 (kolejne sprawozdania MF).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Domknięcie danych: 2010 (parser głębokiej tabeli), 2005–2009 (OCR).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Udostępnianie i eksport: link do roku/zakładki (parametry URL), zapis wykresu do PNG.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Wskaźniki gospodarcze (PKB / inflacja / handel) dla państw Grupy Wyszehradzkiej.</w:t>
      </w:r>
    </w:p>
    <w:p>
      <w:pPr>
        <w:pStyle w:val="Heading2"/>
      </w:pPr>
      <w:r>
        <w:t xml:space="preserve">7.3. Znane kwestie / pułapki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Cache GitHub Pages bywa uporczywy — zalecać twarde odświeżenie / incognito.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Liczba działów 31 lub 32 — poprawne, wynika z klasyfikacji danego roku.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Reklasyfikacje działów (np. „Szkolnictwo wyższe” → „...i nauka”) mogą wyglądać jak nagły skok; w „Największych zmianach” % jest ukrywany, gdy dział znika/pojawia się.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Plan vs wykonanie: porównanie z pierwotną ustawą, nie z planem po zmianach — stąd &gt;100% przy rezerwach (opisane w UI).</w:t>
      </w:r>
    </w:p>
    <w:p>
      <w:pPr>
        <w:pStyle w:val="Heading1"/>
      </w:pPr>
      <w:r>
        <w:t xml:space="preserve">8. Historia wersji (changelog)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Etap (cache)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714"/>
                <w:sz w:val="19"/>
                <w:szCs w:val="19"/>
              </w:rPr>
              <w:t xml:space="preserve">Co doszło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Punkt wyjścia (v7)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3 zakładki (Mapa, Przepływ, Rodzaj), 16 lat 2011–2026, estetyka papierowa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v8–v10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Warstwa animacji: count-up kwot, wejścia, blur-crossfade, „pop” kafelków treemapy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v11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Zakładka Trendy: dashboard porównawczy 2011–2026 (KPI, wykresy, struktura)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v14–v16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Oznaczenie wersji, logo SVG w nagłówku, usunięcie pauz z treści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v17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Twoje podatki, wartości realne (CPI/deflator), Największe zmiany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v18–v20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Plan vs wykonanie (test 2025), zakładka warunkowa (tylko lata z danymi)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v21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714"/>
                <w:sz w:val="19"/>
                <w:szCs w:val="19"/>
              </w:rPr>
              <w:t xml:space="preserve">Plan vs wykonanie wzbogacone: Δ na kartach, podsumowanie, dochody wg źródła, odchylenia, słupki</w:t>
            </w:r>
          </w:p>
        </w:tc>
      </w:tr>
    </w:tbl>
    <w:p>
      <w:pPr>
        <w:spacing w:before="280"/>
        <w:jc w:val="center"/>
      </w:pPr>
      <w:r>
        <w:rPr>
          <w:i/>
          <w:iCs/>
          <w:color w:val="8C857B"/>
        </w:rPr>
        <w:t xml:space="preserve">Koniec dokumentu · Terra Cracovianum · terracracovianum.org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7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7C5C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171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2026-06-23T14:24:00.848Z</dcterms:created>
  <dcterms:modified xsi:type="dcterms:W3CDTF">2026-06-23T14:24:00.849Z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