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2435E1" wp14:paraId="0DDFAC97" wp14:textId="02326B49">
      <w:pPr>
        <w:spacing w:before="225" w:beforeAutospacing="off" w:after="225" w:afterAutospacing="off"/>
        <w:rPr>
          <w:rFonts w:ascii="Cambria" w:hAnsi="Cambria" w:eastAsia="Cambria" w:cs="Cambria"/>
          <w:b w:val="1"/>
          <w:bCs w:val="1"/>
          <w:noProof w:val="0"/>
          <w:color w:val="0E0E0E"/>
          <w:sz w:val="22"/>
          <w:szCs w:val="22"/>
          <w:lang w:val="en-US"/>
        </w:rPr>
      </w:pPr>
      <w:r w:rsidRPr="582435E1" w:rsidR="015FDA46">
        <w:rPr>
          <w:rFonts w:ascii="Cambria" w:hAnsi="Cambria" w:eastAsia="Cambria" w:cs="Cambria"/>
          <w:b w:val="1"/>
          <w:bCs w:val="1"/>
          <w:noProof w:val="0"/>
          <w:color w:val="0E0E0E"/>
          <w:sz w:val="22"/>
          <w:szCs w:val="22"/>
          <w:lang w:val="en-US"/>
        </w:rPr>
        <w:t>Sales History Schema is used for:</w:t>
      </w:r>
    </w:p>
    <w:p xmlns:wp14="http://schemas.microsoft.com/office/word/2010/wordml" w:rsidP="582435E1" wp14:paraId="492B53EA" wp14:textId="1F1D4074">
      <w:pPr>
        <w:spacing w:before="210" w:beforeAutospacing="off" w:after="210" w:afterAutospacing="off"/>
        <w:rPr>
          <w:rFonts w:ascii="Cambria" w:hAnsi="Cambria" w:eastAsia="Cambria" w:cs="Cambria"/>
          <w:noProof w:val="0"/>
          <w:color w:val="0E0E0E"/>
          <w:sz w:val="21"/>
          <w:szCs w:val="21"/>
          <w:lang w:val="en-US"/>
        </w:rPr>
      </w:pPr>
      <w:r w:rsidRPr="582435E1" w:rsidR="015FDA46">
        <w:rPr>
          <w:rFonts w:ascii="Cambria" w:hAnsi="Cambria" w:eastAsia="Cambria" w:cs="Cambria"/>
          <w:noProof w:val="0"/>
          <w:color w:val="0E0E0E"/>
          <w:sz w:val="21"/>
          <w:szCs w:val="21"/>
          <w:lang w:val="en-US"/>
        </w:rPr>
        <w:t xml:space="preserve">The sales history schema is used to store and organize data related to sales transactions. It captures details about products, customers, sales channels, promotional activities, and time periods to </w:t>
      </w:r>
      <w:r w:rsidRPr="582435E1" w:rsidR="015FDA46">
        <w:rPr>
          <w:rFonts w:ascii="Cambria" w:hAnsi="Cambria" w:eastAsia="Cambria" w:cs="Cambria"/>
          <w:noProof w:val="0"/>
          <w:color w:val="0E0E0E"/>
          <w:sz w:val="21"/>
          <w:szCs w:val="21"/>
          <w:lang w:val="en-US"/>
        </w:rPr>
        <w:t>facilitate</w:t>
      </w:r>
      <w:r w:rsidRPr="582435E1" w:rsidR="015FDA46">
        <w:rPr>
          <w:rFonts w:ascii="Cambria" w:hAnsi="Cambria" w:eastAsia="Cambria" w:cs="Cambria"/>
          <w:noProof w:val="0"/>
          <w:color w:val="0E0E0E"/>
          <w:sz w:val="21"/>
          <w:szCs w:val="21"/>
          <w:lang w:val="en-US"/>
        </w:rPr>
        <w:t xml:space="preserve"> analysis of business performance.</w:t>
      </w:r>
    </w:p>
    <w:p xmlns:wp14="http://schemas.microsoft.com/office/word/2010/wordml" w:rsidP="582435E1" wp14:paraId="69557D31" wp14:textId="13180FF6">
      <w:pPr>
        <w:spacing w:before="225" w:beforeAutospacing="off" w:after="225" w:afterAutospacing="off"/>
      </w:pPr>
      <w:r w:rsidRPr="582435E1" w:rsidR="015FDA46">
        <w:rPr>
          <w:rFonts w:ascii="Cambria" w:hAnsi="Cambria" w:eastAsia="Cambria" w:cs="Cambria"/>
          <w:b w:val="1"/>
          <w:bCs w:val="1"/>
          <w:noProof w:val="0"/>
          <w:color w:val="0E0E0E"/>
          <w:sz w:val="22"/>
          <w:szCs w:val="22"/>
          <w:lang w:val="en-US"/>
        </w:rPr>
        <w:t>With that data, we can:</w:t>
      </w:r>
    </w:p>
    <w:p xmlns:wp14="http://schemas.microsoft.com/office/word/2010/wordml" w:rsidP="582435E1" wp14:paraId="64CF5253" wp14:textId="6F2DE8C3">
      <w:pPr>
        <w:spacing w:before="225" w:beforeAutospacing="off" w:after="225" w:afterAutospacing="off"/>
      </w:pPr>
      <w:r w:rsidRPr="582435E1" w:rsidR="015FDA46">
        <w:rPr>
          <w:rFonts w:ascii="Cambria" w:hAnsi="Cambria" w:eastAsia="Cambria" w:cs="Cambria"/>
          <w:noProof w:val="0"/>
          <w:color w:val="0E0E0E"/>
          <w:sz w:val="21"/>
          <w:szCs w:val="21"/>
          <w:lang w:val="en-US"/>
        </w:rPr>
        <w:t>With the data in the Sales History Schema, we can analyze sales trends, track customer behavior, evaluate the effectiveness of promotions, and measure profitability. It also helps in making informed decisions about inventory management, marketing strategies, and customer engagement.</w:t>
      </w:r>
    </w:p>
    <w:p xmlns:wp14="http://schemas.microsoft.com/office/word/2010/wordml" w:rsidP="582435E1" wp14:paraId="433C72F3" wp14:textId="4AF6A435">
      <w:pPr>
        <w:pStyle w:val="Normal"/>
        <w:spacing w:before="210" w:beforeAutospacing="off" w:after="210" w:afterAutospacing="off"/>
        <w:rPr>
          <w:rFonts w:ascii="Cambria" w:hAnsi="Cambria" w:eastAsia="Cambria" w:cs="Cambria"/>
          <w:noProof w:val="0"/>
          <w:color w:val="0E0E0E"/>
          <w:sz w:val="21"/>
          <w:szCs w:val="21"/>
          <w:lang w:val="en-US"/>
        </w:rPr>
      </w:pPr>
    </w:p>
    <w:p xmlns:wp14="http://schemas.microsoft.com/office/word/2010/wordml" w:rsidP="582435E1" wp14:paraId="1BDB0BF1" wp14:textId="03827037">
      <w:pPr>
        <w:keepLines w:val="1"/>
        <w:spacing w:before="120" w:after="0" w:line="240" w:lineRule="auto"/>
        <w:rPr>
          <w:rFonts w:ascii="Trebuchet MS" w:hAnsi="Trebuchet MS" w:eastAsia="Trebuchet MS" w:cs="Trebuchet MS"/>
          <w:noProof w:val="0"/>
          <w:color w:val="464547"/>
          <w:sz w:val="20"/>
          <w:szCs w:val="20"/>
          <w:lang w:val="en-U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302"/>
        <w:gridCol w:w="2302"/>
        <w:gridCol w:w="2302"/>
      </w:tblGrid>
      <w:tr w:rsidR="582435E1" w:rsidTr="582435E1" w14:paraId="590B7DD1">
        <w:trPr>
          <w:trHeight w:val="300"/>
        </w:trPr>
        <w:tc>
          <w:tcPr>
            <w:tcW w:w="2302" w:type="dxa"/>
            <w:tcBorders>
              <w:top w:val="single" w:color="76CDD8" w:sz="6"/>
              <w:left w:val="single" w:color="76CDD8" w:sz="6"/>
              <w:bottom w:val="single" w:color="76CDD8" w:sz="6"/>
              <w:right w:val="single" w:color="76CDD8" w:sz="6"/>
            </w:tcBorders>
            <w:shd w:val="clear" w:color="auto" w:fill="76CDD8"/>
            <w:tcMar>
              <w:left w:w="105" w:type="dxa"/>
              <w:right w:w="105" w:type="dxa"/>
            </w:tcMar>
            <w:vAlign w:val="center"/>
          </w:tcPr>
          <w:p w:rsidR="2AFAC631" w:rsidP="582435E1" w:rsidRDefault="2AFAC631" w14:paraId="438D6868" w14:textId="55599B4F">
            <w:pPr>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582435E1" w:rsidR="2AFAC631">
              <w:rPr>
                <w:rFonts w:ascii="Trebuchet MS" w:hAnsi="Trebuchet MS" w:eastAsia="Trebuchet MS" w:cs="Trebuchet MS"/>
                <w:color w:val="FFFFFF" w:themeColor="background1" w:themeTint="FF" w:themeShade="FF"/>
                <w:sz w:val="18"/>
                <w:szCs w:val="18"/>
                <w:lang w:val="en-US"/>
              </w:rPr>
              <w:t>Table/View Name</w:t>
            </w:r>
          </w:p>
        </w:tc>
        <w:tc>
          <w:tcPr>
            <w:tcW w:w="2302" w:type="dxa"/>
            <w:tcBorders>
              <w:top w:val="single" w:color="76CDD8" w:sz="6"/>
              <w:left w:val="single" w:color="76CDD8" w:sz="6"/>
              <w:bottom w:val="single" w:color="76CDD8" w:sz="6"/>
              <w:right w:val="single" w:color="76CDD8" w:sz="6"/>
            </w:tcBorders>
            <w:shd w:val="clear" w:color="auto" w:fill="76CDD8"/>
            <w:tcMar>
              <w:left w:w="105" w:type="dxa"/>
              <w:right w:w="105" w:type="dxa"/>
            </w:tcMar>
            <w:vAlign w:val="center"/>
          </w:tcPr>
          <w:p w:rsidR="2AFAC631" w:rsidP="582435E1" w:rsidRDefault="2AFAC631" w14:paraId="4201FD87" w14:textId="5BE66896">
            <w:pPr>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582435E1" w:rsidR="2AFAC631">
              <w:rPr>
                <w:rFonts w:ascii="Trebuchet MS" w:hAnsi="Trebuchet MS" w:eastAsia="Trebuchet MS" w:cs="Trebuchet MS"/>
                <w:color w:val="FFFFFF" w:themeColor="background1" w:themeTint="FF" w:themeShade="FF"/>
                <w:sz w:val="18"/>
                <w:szCs w:val="18"/>
                <w:lang w:val="en-US"/>
              </w:rPr>
              <w:t>Used for</w:t>
            </w:r>
          </w:p>
        </w:tc>
        <w:tc>
          <w:tcPr>
            <w:tcW w:w="2302" w:type="dxa"/>
            <w:tcBorders>
              <w:top w:val="single" w:color="76CDD8" w:sz="6"/>
              <w:left w:val="single" w:color="76CDD8" w:sz="6"/>
              <w:bottom w:val="single" w:color="76CDD8" w:sz="6"/>
              <w:right w:val="single" w:color="76CDD8" w:sz="6"/>
            </w:tcBorders>
            <w:shd w:val="clear" w:color="auto" w:fill="76CDD8"/>
            <w:tcMar>
              <w:left w:w="105" w:type="dxa"/>
              <w:right w:w="105" w:type="dxa"/>
            </w:tcMar>
            <w:vAlign w:val="center"/>
          </w:tcPr>
          <w:p w:rsidR="2AFAC631" w:rsidP="582435E1" w:rsidRDefault="2AFAC631" w14:paraId="486774FE" w14:textId="3B903987">
            <w:pPr>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582435E1" w:rsidR="2AFAC631">
              <w:rPr>
                <w:rFonts w:ascii="Trebuchet MS" w:hAnsi="Trebuchet MS" w:eastAsia="Trebuchet MS" w:cs="Trebuchet MS"/>
                <w:color w:val="FFFFFF" w:themeColor="background1" w:themeTint="FF" w:themeShade="FF"/>
                <w:sz w:val="18"/>
                <w:szCs w:val="18"/>
                <w:lang w:val="en-US"/>
              </w:rPr>
              <w:t>Additional</w:t>
            </w:r>
            <w:r w:rsidRPr="582435E1" w:rsidR="2AFAC631">
              <w:rPr>
                <w:rFonts w:ascii="Trebuchet MS" w:hAnsi="Trebuchet MS" w:eastAsia="Trebuchet MS" w:cs="Trebuchet MS"/>
                <w:color w:val="FFFFFF" w:themeColor="background1" w:themeTint="FF" w:themeShade="FF"/>
                <w:sz w:val="18"/>
                <w:szCs w:val="18"/>
                <w:lang w:val="en-US"/>
              </w:rPr>
              <w:t xml:space="preserve"> Notes</w:t>
            </w:r>
          </w:p>
        </w:tc>
      </w:tr>
      <w:tr w:rsidR="582435E1" w:rsidTr="582435E1" w14:paraId="4A97AE9C">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2AFAC631" w:rsidP="582435E1" w:rsidRDefault="2AFAC631" w14:paraId="4CC0D243" w14:textId="50990AF7">
            <w:pPr>
              <w:keepLines w:val="1"/>
              <w:spacing w:before="120" w:after="0" w:line="240" w:lineRule="auto"/>
              <w:rPr>
                <w:rFonts w:ascii="Trebuchet MS" w:hAnsi="Trebuchet MS" w:eastAsia="Trebuchet MS" w:cs="Trebuchet MS"/>
                <w:color w:val="464547"/>
                <w:sz w:val="18"/>
                <w:szCs w:val="18"/>
                <w:lang w:val="en-US"/>
              </w:rPr>
            </w:pPr>
            <w:r w:rsidRPr="582435E1" w:rsidR="2AFAC631">
              <w:rPr>
                <w:rFonts w:ascii="Trebuchet MS" w:hAnsi="Trebuchet MS" w:eastAsia="Trebuchet MS" w:cs="Trebuchet MS"/>
                <w:color w:val="464547"/>
                <w:sz w:val="18"/>
                <w:szCs w:val="18"/>
                <w:lang w:val="en-US"/>
              </w:rPr>
              <w:t>COUNTRIES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5280944E" w14:textId="30BBB21A">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information about the countries where sales are made</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718D33AD" w14:textId="1B8AC97C">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Helps link sales data to specific geographic regions</w:t>
            </w:r>
          </w:p>
        </w:tc>
      </w:tr>
      <w:tr w:rsidR="582435E1" w:rsidTr="582435E1" w14:paraId="29642A8C">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48190A3" w14:textId="272B852E">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CUSTOMERS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328648C5" w14:textId="7AFFEC07">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customer details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2A41B0AD" w14:textId="1F0761C8">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This table connects sales data to individual customers and allows for customer-based analysis</w:t>
            </w:r>
          </w:p>
        </w:tc>
      </w:tr>
      <w:tr w:rsidR="582435E1" w:rsidTr="582435E1" w14:paraId="0E7F8F20">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BB9685B" w14:textId="1F89424C">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CHANELS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7DE0AFD8" w14:textId="23C52679">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Describing different sales channels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4689E749" w14:textId="36341841">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Important for segmenting sales based on the medium through which they were made</w:t>
            </w:r>
          </w:p>
        </w:tc>
      </w:tr>
      <w:tr w:rsidR="582435E1" w:rsidTr="582435E1" w14:paraId="2C8FEE04">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7D502443" w14:textId="43FBECB3">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TIMES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31A13077" w14:textId="4371D4A0">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Time-related data</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5995BBC1" w14:textId="529615AE">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Allows time-based analysis</w:t>
            </w:r>
          </w:p>
        </w:tc>
      </w:tr>
      <w:tr w:rsidR="582435E1" w:rsidTr="582435E1" w14:paraId="23BB73F7">
        <w:trPr>
          <w:trHeight w:val="300"/>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59D227B3" w14:textId="7F151781">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PRODUCTS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31EA5A06" w14:textId="3A156E61">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Storing information about products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22FBC4A2" w14:textId="03BB8A91">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Essential for analyzing sales by product</w:t>
            </w:r>
          </w:p>
        </w:tc>
      </w:tr>
      <w:tr w:rsidR="582435E1" w:rsidTr="582435E1" w14:paraId="13646883">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355F3F6" w14:textId="7FF21E43">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PROMOTIONS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42D2663" w14:textId="36D13365">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data related to promotions or discounts offered on products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4899041" w14:textId="55FBA69E">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Helps in evaluating the effectiveness of marketing and promotional campaigns</w:t>
            </w:r>
          </w:p>
        </w:tc>
      </w:tr>
      <w:tr w:rsidR="582435E1" w:rsidTr="582435E1" w14:paraId="48B80A18">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5CD77ED9" w14:textId="58518AAC">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COSTS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30470D55" w14:textId="60D99A84">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Storing product-related costs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712C4BBA" w14:textId="541489AB">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Used for profitability analysis, comparing sales revenue with product costs</w:t>
            </w:r>
          </w:p>
        </w:tc>
      </w:tr>
      <w:tr w:rsidR="582435E1" w:rsidTr="582435E1" w14:paraId="172F858B">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48E82C3D" w14:textId="0A9B1117">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SALES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146E6880" w14:textId="3EDB67AC">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Storing actual sales transactions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568D372A" w14:textId="3AA01B3C">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This is the fact table of the schema that records transactional data</w:t>
            </w:r>
          </w:p>
        </w:tc>
      </w:tr>
      <w:tr w:rsidR="582435E1" w:rsidTr="582435E1" w14:paraId="61E7B71B">
        <w:trPr>
          <w:trHeight w:val="375"/>
        </w:trPr>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6C4FD22B" w14:textId="3B977BB1">
            <w:pPr>
              <w:pStyle w:val="Normal"/>
              <w:spacing w:line="240" w:lineRule="auto"/>
              <w:jc w:val="left"/>
              <w:rPr>
                <w:rFonts w:ascii="Trebuchet MS" w:hAnsi="Trebuchet MS" w:eastAsia="Trebuchet MS" w:cs="Trebuchet MS"/>
                <w:color w:val="464547"/>
                <w:sz w:val="18"/>
                <w:szCs w:val="18"/>
                <w:lang w:val="en-US"/>
              </w:rPr>
            </w:pPr>
            <w:r w:rsidRPr="582435E1" w:rsidR="16B91F9F">
              <w:rPr>
                <w:rFonts w:ascii="Trebuchet MS" w:hAnsi="Trebuchet MS" w:eastAsia="Trebuchet MS" w:cs="Trebuchet MS"/>
                <w:color w:val="464547"/>
                <w:sz w:val="18"/>
                <w:szCs w:val="18"/>
                <w:lang w:val="en-US"/>
              </w:rPr>
              <w:t>PROFITS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4E705681" w14:textId="3C1C3F88">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Calculating and storing profits</w:t>
            </w:r>
          </w:p>
        </w:tc>
        <w:tc>
          <w:tcPr>
            <w:tcW w:w="2302" w:type="dxa"/>
            <w:tcBorders>
              <w:top w:val="single" w:color="76CDD8" w:sz="6"/>
              <w:left w:val="single" w:color="76CDD8" w:sz="6"/>
              <w:bottom w:val="single" w:color="76CDD8" w:sz="6"/>
              <w:right w:val="single" w:color="76CDD8" w:sz="6"/>
            </w:tcBorders>
            <w:tcMar>
              <w:left w:w="105" w:type="dxa"/>
              <w:right w:w="105" w:type="dxa"/>
            </w:tcMar>
            <w:vAlign w:val="center"/>
          </w:tcPr>
          <w:p w:rsidR="16B91F9F" w:rsidP="582435E1" w:rsidRDefault="16B91F9F" w14:paraId="3932A78B" w14:textId="5ABD914F">
            <w:pPr>
              <w:spacing w:before="210" w:beforeAutospacing="off" w:after="210" w:afterAutospacing="off"/>
              <w:rPr>
                <w:rFonts w:ascii="Trebuchet MS" w:hAnsi="Trebuchet MS" w:eastAsia="Trebuchet MS" w:cs="Trebuchet MS"/>
                <w:noProof w:val="0"/>
                <w:color w:val="0E0E0E"/>
                <w:sz w:val="18"/>
                <w:szCs w:val="18"/>
                <w:lang w:val="en-US"/>
              </w:rPr>
            </w:pPr>
            <w:r w:rsidRPr="582435E1" w:rsidR="16B91F9F">
              <w:rPr>
                <w:rFonts w:ascii="Trebuchet MS" w:hAnsi="Trebuchet MS" w:eastAsia="Trebuchet MS" w:cs="Trebuchet MS"/>
                <w:noProof w:val="0"/>
                <w:color w:val="0E0E0E"/>
                <w:sz w:val="18"/>
                <w:szCs w:val="18"/>
                <w:lang w:val="en-US"/>
              </w:rPr>
              <w:t>Important for financial analysis and measuring overall profitability</w:t>
            </w:r>
          </w:p>
        </w:tc>
      </w:tr>
    </w:tbl>
    <w:p xmlns:wp14="http://schemas.microsoft.com/office/word/2010/wordml" wp14:paraId="2C078E63" wp14:textId="689FB5A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F9BCE"/>
    <w:rsid w:val="008F7895"/>
    <w:rsid w:val="015FDA46"/>
    <w:rsid w:val="0501DDE9"/>
    <w:rsid w:val="0CA2DF35"/>
    <w:rsid w:val="0FB01080"/>
    <w:rsid w:val="14F1DCEE"/>
    <w:rsid w:val="16B91F9F"/>
    <w:rsid w:val="17BF9BCE"/>
    <w:rsid w:val="1D250A4C"/>
    <w:rsid w:val="2AFAC631"/>
    <w:rsid w:val="392C311E"/>
    <w:rsid w:val="3A003EDA"/>
    <w:rsid w:val="3A10463A"/>
    <w:rsid w:val="3B945479"/>
    <w:rsid w:val="3DD5F459"/>
    <w:rsid w:val="4737C7EB"/>
    <w:rsid w:val="4EA7F708"/>
    <w:rsid w:val="582435E1"/>
    <w:rsid w:val="5D2713F0"/>
    <w:rsid w:val="5E4AC91D"/>
    <w:rsid w:val="72E3F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9BCE"/>
  <w15:chartTrackingRefBased/>
  <w15:docId w15:val="{4546153F-D3AA-41A9-BD45-55C28B17FE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2024-12-02T15:53:50.8815398Z</dcterms:created>
  <dcterms:modified xsi:type="dcterms:W3CDTF">2024-12-02T16:08:26.2309203Z</dcterms:modified>
  <dc:creator>Nino Jintcharadze</dc:creator>
  <lastModifiedBy>Nino Jintcharadze</lastModifiedBy>
</coreProperties>
</file>