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0D496FB" w:rsidP="70D496FB" w:rsidRDefault="70D496FB" w14:paraId="5E7FC2D3" w14:textId="26DB18AA">
      <w:pPr>
        <w:pStyle w:val="NoSpacing"/>
      </w:pPr>
    </w:p>
    <w:p w:rsidR="036098A5" w:rsidP="70D496FB" w:rsidRDefault="036098A5" w14:paraId="4D5C8F35" w14:textId="2C1FC2D7">
      <w:pPr>
        <w:pStyle w:val="Normal"/>
        <w:rPr>
          <w:rFonts w:ascii="Calibri" w:hAnsi="Calibri" w:eastAsia="Calibri" w:cs="Calibri"/>
          <w:b w:val="1"/>
          <w:bCs w:val="1"/>
          <w:noProof w:val="0"/>
          <w:color w:val="0D0D0D" w:themeColor="text1" w:themeTint="F2" w:themeShade="FF"/>
          <w:sz w:val="26"/>
          <w:szCs w:val="26"/>
          <w:lang w:val="en-US"/>
        </w:rPr>
      </w:pPr>
      <w:bookmarkStart w:name="_Int_2fj6NIOm" w:id="547091563"/>
      <w:r w:rsidRPr="70D496FB" w:rsidR="036098A5">
        <w:rPr>
          <w:rFonts w:ascii="Calibri" w:hAnsi="Calibri" w:eastAsia="Calibri" w:cs="Calibri"/>
          <w:b w:val="1"/>
          <w:bCs w:val="1"/>
          <w:noProof w:val="0"/>
          <w:color w:val="0D0D0D" w:themeColor="text1" w:themeTint="F2" w:themeShade="FF"/>
          <w:sz w:val="26"/>
          <w:szCs w:val="26"/>
          <w:lang w:val="en-US"/>
        </w:rPr>
        <w:t>Business logic for the Museum database</w:t>
      </w:r>
      <w:bookmarkEnd w:id="547091563"/>
    </w:p>
    <w:p w:rsidR="036098A5" w:rsidP="70D496FB" w:rsidRDefault="036098A5" w14:paraId="1C22C07A" w14:textId="76934368">
      <w:pPr>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noProof w:val="0"/>
          <w:color w:val="0D0D0D" w:themeColor="text1" w:themeTint="F2" w:themeShade="FF"/>
          <w:sz w:val="24"/>
          <w:szCs w:val="24"/>
          <w:lang w:val="en-US"/>
        </w:rPr>
        <w:t>The Museum Database is a sophisticated, purpose-built system designed to bring the museum’s world of art and culture to life through seamless data management. It is the digital backbone of the museum, connecting artists, collections, exhibitions, and visitors in a well-orchestrated symphony of information.</w:t>
      </w:r>
    </w:p>
    <w:p w:rsidR="70D496FB" w:rsidP="70D496FB" w:rsidRDefault="70D496FB" w14:paraId="6F5BD125" w14:textId="37160A70">
      <w:pPr>
        <w:pStyle w:val="Normal"/>
      </w:pPr>
    </w:p>
    <w:p w:rsidR="036098A5" w:rsidP="70D496FB" w:rsidRDefault="036098A5" w14:paraId="6F44F111" w14:textId="67BFF04B">
      <w:pPr>
        <w:pStyle w:val="Normal"/>
        <w:rPr>
          <w:b w:val="1"/>
          <w:bCs w:val="1"/>
          <w:noProof w:val="0"/>
          <w:sz w:val="26"/>
          <w:szCs w:val="26"/>
          <w:lang w:val="en-US"/>
        </w:rPr>
      </w:pPr>
      <w:r w:rsidRPr="70D496FB" w:rsidR="036098A5">
        <w:rPr>
          <w:b w:val="1"/>
          <w:bCs w:val="1"/>
          <w:noProof w:val="0"/>
          <w:sz w:val="26"/>
          <w:szCs w:val="26"/>
          <w:lang w:val="en-US"/>
        </w:rPr>
        <w:t>Key entities and their roles</w:t>
      </w:r>
    </w:p>
    <w:p w:rsidR="036098A5" w:rsidP="70D496FB" w:rsidRDefault="036098A5" w14:paraId="03708D86" w14:textId="20EA3EBB">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Artists:</w:t>
      </w:r>
      <w:r w:rsidRPr="70D496FB" w:rsidR="036098A5">
        <w:rPr>
          <w:rFonts w:ascii="Calibri" w:hAnsi="Calibri" w:eastAsia="Calibri" w:cs="Calibri"/>
          <w:noProof w:val="0"/>
          <w:color w:val="0D0D0D" w:themeColor="text1" w:themeTint="F2" w:themeShade="FF"/>
          <w:sz w:val="24"/>
          <w:szCs w:val="24"/>
          <w:lang w:val="en-US"/>
        </w:rPr>
        <w:t xml:space="preserve"> The creative heart of the museum. Their details, legacies, and contributions are carefully preserved and connected to collections and exhibitions.</w:t>
      </w:r>
    </w:p>
    <w:p w:rsidR="036098A5" w:rsidP="70D496FB" w:rsidRDefault="036098A5" w14:paraId="10680B75" w14:textId="249B6B55">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Collections:</w:t>
      </w:r>
      <w:r w:rsidRPr="70D496FB" w:rsidR="036098A5">
        <w:rPr>
          <w:rFonts w:ascii="Calibri" w:hAnsi="Calibri" w:eastAsia="Calibri" w:cs="Calibri"/>
          <w:noProof w:val="0"/>
          <w:color w:val="0D0D0D" w:themeColor="text1" w:themeTint="F2" w:themeShade="FF"/>
          <w:sz w:val="24"/>
          <w:szCs w:val="24"/>
          <w:lang w:val="en-US"/>
        </w:rPr>
        <w:t xml:space="preserve"> A treasure trove of art pieces—each with its story. These items are tracked for provenance, valuation, and exhibition history.</w:t>
      </w:r>
    </w:p>
    <w:p w:rsidR="036098A5" w:rsidP="70D496FB" w:rsidRDefault="036098A5" w14:paraId="3472EA03" w14:textId="01B25440">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Exhibitions:</w:t>
      </w:r>
      <w:r w:rsidRPr="70D496FB" w:rsidR="036098A5">
        <w:rPr>
          <w:rFonts w:ascii="Calibri" w:hAnsi="Calibri" w:eastAsia="Calibri" w:cs="Calibri"/>
          <w:noProof w:val="0"/>
          <w:color w:val="0D0D0D" w:themeColor="text1" w:themeTint="F2" w:themeShade="FF"/>
          <w:sz w:val="24"/>
          <w:szCs w:val="24"/>
          <w:lang w:val="en-US"/>
        </w:rPr>
        <w:t xml:space="preserve"> The stage for storytelling. Exhibitions bring collections to life, with dates, themes, and artist collaborations dynamically managed.</w:t>
      </w:r>
    </w:p>
    <w:p w:rsidR="036098A5" w:rsidP="70D496FB" w:rsidRDefault="036098A5" w14:paraId="243B6A9E" w14:textId="66AA278A">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Visitors:</w:t>
      </w:r>
      <w:r w:rsidRPr="70D496FB" w:rsidR="036098A5">
        <w:rPr>
          <w:rFonts w:ascii="Calibri" w:hAnsi="Calibri" w:eastAsia="Calibri" w:cs="Calibri"/>
          <w:noProof w:val="0"/>
          <w:color w:val="0D0D0D" w:themeColor="text1" w:themeTint="F2" w:themeShade="FF"/>
          <w:sz w:val="24"/>
          <w:szCs w:val="24"/>
          <w:lang w:val="en-US"/>
        </w:rPr>
        <w:t xml:space="preserve"> The lifeblood of the museum. Their engagement is tracked to enhance their experience and build loyalty.</w:t>
      </w:r>
    </w:p>
    <w:p w:rsidR="036098A5" w:rsidP="70D496FB" w:rsidRDefault="036098A5" w14:paraId="40BB93D5" w14:textId="246FEBE5">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Tickets:</w:t>
      </w:r>
      <w:r w:rsidRPr="70D496FB" w:rsidR="036098A5">
        <w:rPr>
          <w:rFonts w:ascii="Calibri" w:hAnsi="Calibri" w:eastAsia="Calibri" w:cs="Calibri"/>
          <w:noProof w:val="0"/>
          <w:color w:val="0D0D0D" w:themeColor="text1" w:themeTint="F2" w:themeShade="FF"/>
          <w:sz w:val="24"/>
          <w:szCs w:val="24"/>
          <w:lang w:val="en-US"/>
        </w:rPr>
        <w:t xml:space="preserve"> Every ticket sold is a bridge between the visitor and the art, forming the foundation for revenue tracking.</w:t>
      </w:r>
    </w:p>
    <w:p w:rsidR="036098A5" w:rsidP="70D496FB" w:rsidRDefault="036098A5" w14:paraId="1915E9F9" w14:textId="2C9B3FEB">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Transactions:</w:t>
      </w:r>
      <w:r w:rsidRPr="70D496FB" w:rsidR="036098A5">
        <w:rPr>
          <w:rFonts w:ascii="Calibri" w:hAnsi="Calibri" w:eastAsia="Calibri" w:cs="Calibri"/>
          <w:noProof w:val="0"/>
          <w:color w:val="0D0D0D" w:themeColor="text1" w:themeTint="F2" w:themeShade="FF"/>
          <w:sz w:val="24"/>
          <w:szCs w:val="24"/>
          <w:lang w:val="en-US"/>
        </w:rPr>
        <w:t xml:space="preserve"> The financial pulse of the museum. Transactions provide insights into earnings and visitor trends.</w:t>
      </w:r>
    </w:p>
    <w:p w:rsidR="70D496FB" w:rsidP="70D496FB" w:rsidRDefault="70D496FB" w14:paraId="7CDB0DF4" w14:textId="2755F454">
      <w:pPr>
        <w:pStyle w:val="Normal"/>
        <w:spacing w:before="0" w:beforeAutospacing="off" w:after="0" w:afterAutospacing="off"/>
        <w:rPr>
          <w:rFonts w:ascii="Calibri" w:hAnsi="Calibri" w:eastAsia="Calibri" w:cs="Calibri"/>
          <w:noProof w:val="0"/>
          <w:color w:val="0D0D0D" w:themeColor="text1" w:themeTint="F2" w:themeShade="FF"/>
          <w:sz w:val="24"/>
          <w:szCs w:val="24"/>
          <w:lang w:val="en-US"/>
        </w:rPr>
      </w:pPr>
    </w:p>
    <w:p w:rsidR="036098A5" w:rsidP="70D496FB" w:rsidRDefault="036098A5" w14:paraId="2963D4BD" w14:textId="5A02B0BF">
      <w:pPr>
        <w:pStyle w:val="Normal"/>
        <w:spacing w:before="0" w:beforeAutospacing="off" w:after="0" w:afterAutospacing="off"/>
        <w:rPr>
          <w:rFonts w:ascii="Calibri" w:hAnsi="Calibri" w:eastAsia="Calibri" w:cs="Calibri"/>
          <w:b w:val="1"/>
          <w:bCs w:val="1"/>
          <w:noProof w:val="0"/>
          <w:color w:val="0D0D0D" w:themeColor="text1" w:themeTint="F2" w:themeShade="FF"/>
          <w:sz w:val="26"/>
          <w:szCs w:val="26"/>
          <w:lang w:val="en-US"/>
        </w:rPr>
      </w:pPr>
      <w:r w:rsidRPr="70D496FB" w:rsidR="036098A5">
        <w:rPr>
          <w:rFonts w:ascii="Calibri" w:hAnsi="Calibri" w:eastAsia="Calibri" w:cs="Calibri"/>
          <w:b w:val="1"/>
          <w:bCs w:val="1"/>
          <w:noProof w:val="0"/>
          <w:color w:val="0D0D0D" w:themeColor="text1" w:themeTint="F2" w:themeShade="FF"/>
          <w:sz w:val="26"/>
          <w:szCs w:val="26"/>
          <w:lang w:val="en-US"/>
        </w:rPr>
        <w:t>How it all works</w:t>
      </w:r>
    </w:p>
    <w:p w:rsidR="70D496FB" w:rsidP="70D496FB" w:rsidRDefault="70D496FB" w14:paraId="21A524D1" w14:textId="05B7F791">
      <w:pPr>
        <w:pStyle w:val="Normal"/>
        <w:spacing w:before="0" w:beforeAutospacing="off" w:after="0" w:afterAutospacing="off"/>
        <w:rPr>
          <w:rFonts w:ascii="Calibri" w:hAnsi="Calibri" w:eastAsia="Calibri" w:cs="Calibri"/>
          <w:noProof w:val="0"/>
          <w:color w:val="0D0D0D" w:themeColor="text1" w:themeTint="F2" w:themeShade="FF"/>
          <w:sz w:val="24"/>
          <w:szCs w:val="24"/>
          <w:lang w:val="en-US"/>
        </w:rPr>
      </w:pPr>
    </w:p>
    <w:p w:rsidR="036098A5" w:rsidP="70D496FB" w:rsidRDefault="036098A5" w14:paraId="617EA3CB" w14:textId="00C7C292">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Artists and Collections:</w:t>
      </w:r>
      <w:r w:rsidRPr="70D496FB" w:rsidR="036098A5">
        <w:rPr>
          <w:rFonts w:ascii="Calibri" w:hAnsi="Calibri" w:eastAsia="Calibri" w:cs="Calibri"/>
          <w:noProof w:val="0"/>
          <w:color w:val="0D0D0D" w:themeColor="text1" w:themeTint="F2" w:themeShade="FF"/>
          <w:sz w:val="24"/>
          <w:szCs w:val="24"/>
          <w:lang w:val="en-US"/>
        </w:rPr>
        <w:t xml:space="preserve"> Artists contribute works that are carefully cataloged and valued. Their legacies become a part of the museum’s story.</w:t>
      </w:r>
    </w:p>
    <w:p w:rsidR="036098A5" w:rsidP="70D496FB" w:rsidRDefault="036098A5" w14:paraId="23779C67" w14:textId="415FC764">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Exhibitions:</w:t>
      </w:r>
      <w:r w:rsidRPr="70D496FB" w:rsidR="036098A5">
        <w:rPr>
          <w:rFonts w:ascii="Calibri" w:hAnsi="Calibri" w:eastAsia="Calibri" w:cs="Calibri"/>
          <w:noProof w:val="0"/>
          <w:color w:val="0D0D0D" w:themeColor="text1" w:themeTint="F2" w:themeShade="FF"/>
          <w:sz w:val="24"/>
          <w:szCs w:val="24"/>
          <w:lang w:val="en-US"/>
        </w:rPr>
        <w:t xml:space="preserve"> Curators plan events, linking collections and artists to themes that captivate audiences. Dates and constraints ensure seamless scheduling.</w:t>
      </w:r>
    </w:p>
    <w:p w:rsidR="036098A5" w:rsidP="70D496FB" w:rsidRDefault="036098A5" w14:paraId="74CF11DE" w14:textId="11E38C21">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Visitors:</w:t>
      </w:r>
      <w:r w:rsidRPr="70D496FB" w:rsidR="036098A5">
        <w:rPr>
          <w:rFonts w:ascii="Calibri" w:hAnsi="Calibri" w:eastAsia="Calibri" w:cs="Calibri"/>
          <w:noProof w:val="0"/>
          <w:color w:val="0D0D0D" w:themeColor="text1" w:themeTint="F2" w:themeShade="FF"/>
          <w:sz w:val="24"/>
          <w:szCs w:val="24"/>
          <w:lang w:val="en-US"/>
        </w:rPr>
        <w:t xml:space="preserve"> Every visitor </w:t>
      </w:r>
      <w:r w:rsidRPr="70D496FB" w:rsidR="036098A5">
        <w:rPr>
          <w:rFonts w:ascii="Calibri" w:hAnsi="Calibri" w:eastAsia="Calibri" w:cs="Calibri"/>
          <w:noProof w:val="0"/>
          <w:color w:val="0D0D0D" w:themeColor="text1" w:themeTint="F2" w:themeShade="FF"/>
          <w:sz w:val="24"/>
          <w:szCs w:val="24"/>
          <w:lang w:val="en-US"/>
        </w:rPr>
        <w:t>is</w:t>
      </w:r>
      <w:r w:rsidRPr="70D496FB" w:rsidR="036098A5">
        <w:rPr>
          <w:rFonts w:ascii="Calibri" w:hAnsi="Calibri" w:eastAsia="Calibri" w:cs="Calibri"/>
          <w:noProof w:val="0"/>
          <w:color w:val="0D0D0D" w:themeColor="text1" w:themeTint="F2" w:themeShade="FF"/>
          <w:sz w:val="24"/>
          <w:szCs w:val="24"/>
          <w:lang w:val="en-US"/>
        </w:rPr>
        <w:t xml:space="preserve"> a unique record in the system, connected to their ticket purchases and preferences.</w:t>
      </w:r>
    </w:p>
    <w:p w:rsidR="036098A5" w:rsidP="70D496FB" w:rsidRDefault="036098A5" w14:paraId="4DD8B536" w14:textId="60AD576E">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Transactions:</w:t>
      </w:r>
      <w:r w:rsidRPr="70D496FB" w:rsidR="036098A5">
        <w:rPr>
          <w:rFonts w:ascii="Calibri" w:hAnsi="Calibri" w:eastAsia="Calibri" w:cs="Calibri"/>
          <w:noProof w:val="0"/>
          <w:color w:val="0D0D0D" w:themeColor="text1" w:themeTint="F2" w:themeShade="FF"/>
          <w:sz w:val="24"/>
          <w:szCs w:val="24"/>
          <w:lang w:val="en-US"/>
        </w:rPr>
        <w:t xml:space="preserve"> Ticket sales generate actionable data—fueling financial reports and strategic decisions.</w:t>
      </w:r>
    </w:p>
    <w:p w:rsidR="036098A5" w:rsidP="70D496FB" w:rsidRDefault="036098A5" w14:paraId="76013054" w14:textId="4CF51DAB">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Insights:</w:t>
      </w:r>
      <w:r w:rsidRPr="70D496FB" w:rsidR="036098A5">
        <w:rPr>
          <w:rFonts w:ascii="Calibri" w:hAnsi="Calibri" w:eastAsia="Calibri" w:cs="Calibri"/>
          <w:noProof w:val="0"/>
          <w:color w:val="0D0D0D" w:themeColor="text1" w:themeTint="F2" w:themeShade="FF"/>
          <w:sz w:val="24"/>
          <w:szCs w:val="24"/>
          <w:lang w:val="en-US"/>
        </w:rPr>
        <w:t xml:space="preserve"> Quarterly analytics spotlight the museum’s successes and guide its future.</w:t>
      </w:r>
    </w:p>
    <w:p w:rsidR="70D496FB" w:rsidP="70D496FB" w:rsidRDefault="70D496FB" w14:paraId="731D493C" w14:textId="21EA9F26">
      <w:pPr>
        <w:pStyle w:val="Normal"/>
        <w:spacing w:before="0" w:beforeAutospacing="off" w:after="0" w:afterAutospacing="off"/>
        <w:rPr>
          <w:rFonts w:ascii="Calibri" w:hAnsi="Calibri" w:eastAsia="Calibri" w:cs="Calibri"/>
          <w:noProof w:val="0"/>
          <w:color w:val="0D0D0D" w:themeColor="text1" w:themeTint="F2" w:themeShade="FF"/>
          <w:sz w:val="24"/>
          <w:szCs w:val="24"/>
          <w:lang w:val="en-US"/>
        </w:rPr>
      </w:pPr>
    </w:p>
    <w:p w:rsidR="036098A5" w:rsidP="70D496FB" w:rsidRDefault="036098A5" w14:paraId="036B2459" w14:textId="6023317A">
      <w:pPr>
        <w:pStyle w:val="Normal"/>
        <w:rPr>
          <w:b w:val="1"/>
          <w:bCs w:val="1"/>
          <w:noProof w:val="0"/>
          <w:sz w:val="26"/>
          <w:szCs w:val="26"/>
          <w:lang w:val="en-US"/>
        </w:rPr>
      </w:pPr>
      <w:r w:rsidRPr="70D496FB" w:rsidR="036098A5">
        <w:rPr>
          <w:b w:val="1"/>
          <w:bCs w:val="1"/>
          <w:noProof w:val="0"/>
          <w:sz w:val="26"/>
          <w:szCs w:val="26"/>
          <w:lang w:val="en-US"/>
        </w:rPr>
        <w:t>Guiding rules</w:t>
      </w:r>
    </w:p>
    <w:p w:rsidR="036098A5" w:rsidP="70D496FB" w:rsidRDefault="036098A5" w14:paraId="71771520" w14:textId="16139286">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noProof w:val="0"/>
          <w:color w:val="0D0D0D" w:themeColor="text1" w:themeTint="F2" w:themeShade="FF"/>
          <w:sz w:val="24"/>
          <w:szCs w:val="24"/>
          <w:lang w:val="en-US"/>
        </w:rPr>
        <w:t>Artists and exhibitions share a dynamic many-to-many relationship, enabling creative flexibility.</w:t>
      </w:r>
    </w:p>
    <w:p w:rsidR="036098A5" w:rsidP="70D496FB" w:rsidRDefault="036098A5" w14:paraId="36B83AA1" w14:textId="5F8492AA">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noProof w:val="0"/>
          <w:color w:val="0D0D0D" w:themeColor="text1" w:themeTint="F2" w:themeShade="FF"/>
          <w:sz w:val="24"/>
          <w:szCs w:val="24"/>
          <w:lang w:val="en-US"/>
        </w:rPr>
        <w:t xml:space="preserve">Collections </w:t>
      </w:r>
      <w:r w:rsidRPr="70D496FB" w:rsidR="036098A5">
        <w:rPr>
          <w:rFonts w:ascii="Calibri" w:hAnsi="Calibri" w:eastAsia="Calibri" w:cs="Calibri"/>
          <w:noProof w:val="0"/>
          <w:color w:val="0D0D0D" w:themeColor="text1" w:themeTint="F2" w:themeShade="FF"/>
          <w:sz w:val="24"/>
          <w:szCs w:val="24"/>
          <w:lang w:val="en-US"/>
        </w:rPr>
        <w:t>maintain</w:t>
      </w:r>
      <w:r w:rsidRPr="70D496FB" w:rsidR="036098A5">
        <w:rPr>
          <w:rFonts w:ascii="Calibri" w:hAnsi="Calibri" w:eastAsia="Calibri" w:cs="Calibri"/>
          <w:noProof w:val="0"/>
          <w:color w:val="0D0D0D" w:themeColor="text1" w:themeTint="F2" w:themeShade="FF"/>
          <w:sz w:val="24"/>
          <w:szCs w:val="24"/>
          <w:lang w:val="en-US"/>
        </w:rPr>
        <w:t xml:space="preserve"> integrity with verified artists, acquisition dates, and non-negative valuations.</w:t>
      </w:r>
    </w:p>
    <w:p w:rsidR="036098A5" w:rsidP="70D496FB" w:rsidRDefault="036098A5" w14:paraId="02290054" w14:textId="1969FA72">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noProof w:val="0"/>
          <w:color w:val="0D0D0D" w:themeColor="text1" w:themeTint="F2" w:themeShade="FF"/>
          <w:sz w:val="24"/>
          <w:szCs w:val="24"/>
          <w:lang w:val="en-US"/>
        </w:rPr>
        <w:t>Visitor information is secure yet accessible for tailored engagement.</w:t>
      </w:r>
    </w:p>
    <w:p w:rsidR="036098A5" w:rsidP="70D496FB" w:rsidRDefault="036098A5" w14:paraId="474A38E5" w14:textId="35B445E6">
      <w:pPr>
        <w:pStyle w:val="ListParagraph"/>
        <w:spacing w:before="0" w:beforeAutospacing="off" w:after="0" w:afterAutospacing="off"/>
        <w:ind w:left="72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noProof w:val="0"/>
          <w:color w:val="0D0D0D" w:themeColor="text1" w:themeTint="F2" w:themeShade="FF"/>
          <w:sz w:val="24"/>
          <w:szCs w:val="24"/>
          <w:lang w:val="en-US"/>
        </w:rPr>
        <w:t>Ticket pricing and sales data adhere to strict validations to ensure accuracy and reliability.</w:t>
      </w:r>
    </w:p>
    <w:p w:rsidR="70D496FB" w:rsidP="70D496FB" w:rsidRDefault="70D496FB" w14:paraId="134882EC" w14:textId="77BA82AB">
      <w:pPr>
        <w:pStyle w:val="Normal"/>
        <w:rPr>
          <w:rFonts w:ascii="Calibri" w:hAnsi="Calibri" w:eastAsia="Calibri" w:cs="Calibri"/>
          <w:b w:val="1"/>
          <w:bCs w:val="1"/>
          <w:noProof w:val="0"/>
          <w:lang w:val="en-US"/>
        </w:rPr>
      </w:pPr>
    </w:p>
    <w:p w:rsidR="036098A5" w:rsidP="70D496FB" w:rsidRDefault="036098A5" w14:paraId="5A554DF3" w14:textId="248AFC82">
      <w:pPr>
        <w:pStyle w:val="Normal"/>
        <w:rPr>
          <w:rFonts w:ascii="Calibri" w:hAnsi="Calibri" w:eastAsia="Calibri" w:cs="Calibri"/>
          <w:b w:val="1"/>
          <w:bCs w:val="1"/>
          <w:noProof w:val="0"/>
          <w:sz w:val="26"/>
          <w:szCs w:val="26"/>
          <w:lang w:val="en-US"/>
        </w:rPr>
      </w:pPr>
      <w:r w:rsidRPr="70D496FB" w:rsidR="036098A5">
        <w:rPr>
          <w:rFonts w:ascii="Calibri" w:hAnsi="Calibri" w:eastAsia="Calibri" w:cs="Calibri"/>
          <w:b w:val="1"/>
          <w:bCs w:val="1"/>
          <w:noProof w:val="0"/>
          <w:sz w:val="26"/>
          <w:szCs w:val="26"/>
          <w:lang w:val="en-US"/>
        </w:rPr>
        <w:t>Security</w:t>
      </w:r>
    </w:p>
    <w:p w:rsidR="036098A5" w:rsidP="70D496FB" w:rsidRDefault="036098A5" w14:paraId="74335FA9" w14:textId="78852D21">
      <w:pPr>
        <w:pStyle w:val="Normal"/>
        <w:spacing w:before="0" w:beforeAutospacing="off" w:after="0" w:afterAutospacing="off"/>
        <w:ind w:left="0"/>
        <w:rPr>
          <w:rFonts w:ascii="Calibri" w:hAnsi="Calibri" w:eastAsia="Calibri" w:cs="Calibri"/>
          <w:noProof w:val="0"/>
          <w:color w:val="0D0D0D" w:themeColor="text1" w:themeTint="F2" w:themeShade="FF"/>
          <w:sz w:val="24"/>
          <w:szCs w:val="24"/>
          <w:lang w:val="en-US"/>
        </w:rPr>
      </w:pPr>
      <w:r w:rsidRPr="70D496FB" w:rsidR="036098A5">
        <w:rPr>
          <w:rFonts w:ascii="Calibri" w:hAnsi="Calibri" w:eastAsia="Calibri" w:cs="Calibri"/>
          <w:b w:val="1"/>
          <w:bCs w:val="1"/>
          <w:noProof w:val="0"/>
          <w:color w:val="0D0D0D" w:themeColor="text1" w:themeTint="F2" w:themeShade="FF"/>
          <w:sz w:val="24"/>
          <w:szCs w:val="24"/>
          <w:lang w:val="en-US"/>
        </w:rPr>
        <w:t>Manager Role:</w:t>
      </w:r>
      <w:r w:rsidRPr="70D496FB" w:rsidR="036098A5">
        <w:rPr>
          <w:rFonts w:ascii="Calibri" w:hAnsi="Calibri" w:eastAsia="Calibri" w:cs="Calibri"/>
          <w:noProof w:val="0"/>
          <w:color w:val="0D0D0D" w:themeColor="text1" w:themeTint="F2" w:themeShade="FF"/>
          <w:sz w:val="24"/>
          <w:szCs w:val="24"/>
          <w:lang w:val="en-US"/>
        </w:rPr>
        <w:t xml:space="preserve"> A dedicated read-only role empowers decision-makers with full access to data, while safeguarding against unauthorized changes.</w:t>
      </w:r>
    </w:p>
    <w:p w:rsidR="70D496FB" w:rsidP="70D496FB" w:rsidRDefault="70D496FB" w14:paraId="60C93E14" w14:textId="134754EB">
      <w:pPr>
        <w:pStyle w:val="Normal"/>
        <w:rPr>
          <w:rFonts w:ascii="Calibri" w:hAnsi="Calibri" w:eastAsia="Calibri" w:cs="Calibri"/>
          <w:b w:val="1"/>
          <w:bCs w:val="1"/>
          <w:noProof w:val="0"/>
          <w:lang w:val="en-US"/>
        </w:rPr>
      </w:pPr>
    </w:p>
    <w:p w:rsidR="70D496FB" w:rsidP="70D496FB" w:rsidRDefault="70D496FB" w14:paraId="2A033D64" w14:textId="1E684DE2">
      <w:pPr>
        <w:pStyle w:val="Normal"/>
        <w:rPr>
          <w:rFonts w:ascii="Calibri" w:hAnsi="Calibri" w:eastAsia="Calibri" w:cs="Calibri"/>
          <w:b w:val="1"/>
          <w:bCs w:val="1"/>
          <w:noProof w:val="0"/>
          <w:sz w:val="26"/>
          <w:szCs w:val="26"/>
          <w:lang w:val="en-US"/>
        </w:rPr>
      </w:pPr>
    </w:p>
    <w:p w:rsidR="036098A5" w:rsidP="70D496FB" w:rsidRDefault="036098A5" w14:paraId="60CB39D3" w14:textId="5874355B">
      <w:pPr>
        <w:pStyle w:val="Normal"/>
        <w:rPr>
          <w:rFonts w:ascii="Calibri" w:hAnsi="Calibri" w:eastAsia="Calibri" w:cs="Calibri"/>
          <w:b w:val="1"/>
          <w:bCs w:val="1"/>
          <w:noProof w:val="0"/>
          <w:sz w:val="26"/>
          <w:szCs w:val="26"/>
          <w:lang w:val="en-US"/>
        </w:rPr>
      </w:pPr>
      <w:r w:rsidRPr="70D496FB" w:rsidR="036098A5">
        <w:rPr>
          <w:rFonts w:ascii="Calibri" w:hAnsi="Calibri" w:eastAsia="Calibri" w:cs="Calibri"/>
          <w:b w:val="1"/>
          <w:bCs w:val="1"/>
          <w:noProof w:val="0"/>
          <w:sz w:val="26"/>
          <w:szCs w:val="26"/>
          <w:lang w:val="en-US"/>
        </w:rPr>
        <w:t>Conclusion</w:t>
      </w:r>
    </w:p>
    <w:p w:rsidR="7B3E0B9E" w:rsidP="70D496FB" w:rsidRDefault="7B3E0B9E" w14:paraId="689AD974" w14:textId="6E9237E8">
      <w:pPr>
        <w:rPr>
          <w:rFonts w:ascii="Calibri" w:hAnsi="Calibri" w:eastAsia="Calibri" w:cs="Calibri"/>
          <w:noProof w:val="0"/>
          <w:color w:val="0D0D0D" w:themeColor="text1" w:themeTint="F2" w:themeShade="FF"/>
          <w:sz w:val="24"/>
          <w:szCs w:val="24"/>
          <w:lang w:val="en-US"/>
        </w:rPr>
      </w:pPr>
      <w:r w:rsidRPr="70D496FB" w:rsidR="7B3E0B9E">
        <w:rPr>
          <w:rFonts w:ascii="Calibri" w:hAnsi="Calibri" w:eastAsia="Calibri" w:cs="Calibri"/>
          <w:noProof w:val="0"/>
          <w:color w:val="0D0D0D" w:themeColor="text1" w:themeTint="F2" w:themeShade="FF"/>
          <w:sz w:val="24"/>
          <w:szCs w:val="24"/>
          <w:lang w:val="en-US"/>
        </w:rPr>
        <w:t xml:space="preserve">This museum database project improves how the museum runs and connects with its audience. By simplifying processes, protecting data, and </w:t>
      </w:r>
      <w:r w:rsidRPr="70D496FB" w:rsidR="7B3E0B9E">
        <w:rPr>
          <w:rFonts w:ascii="Calibri" w:hAnsi="Calibri" w:eastAsia="Calibri" w:cs="Calibri"/>
          <w:noProof w:val="0"/>
          <w:color w:val="0D0D0D" w:themeColor="text1" w:themeTint="F2" w:themeShade="FF"/>
          <w:sz w:val="24"/>
          <w:szCs w:val="24"/>
          <w:lang w:val="en-US"/>
        </w:rPr>
        <w:t>providing</w:t>
      </w:r>
      <w:r w:rsidRPr="70D496FB" w:rsidR="7B3E0B9E">
        <w:rPr>
          <w:rFonts w:ascii="Calibri" w:hAnsi="Calibri" w:eastAsia="Calibri" w:cs="Calibri"/>
          <w:noProof w:val="0"/>
          <w:color w:val="0D0D0D" w:themeColor="text1" w:themeTint="F2" w:themeShade="FF"/>
          <w:sz w:val="24"/>
          <w:szCs w:val="24"/>
          <w:lang w:val="en-US"/>
        </w:rPr>
        <w:t xml:space="preserve"> useful insights, it helps the museum stay a lively center for art and culture.</w:t>
      </w:r>
    </w:p>
    <w:p w:rsidR="70D496FB" w:rsidP="70D496FB" w:rsidRDefault="70D496FB" w14:paraId="54C86B2F" w14:textId="01FA778F">
      <w:pPr>
        <w:pStyle w:val="Normal"/>
      </w:pPr>
    </w:p>
    <w:p w:rsidR="70D496FB" w:rsidP="70D496FB" w:rsidRDefault="70D496FB" w14:paraId="73D94AB2" w14:textId="5CFE222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2fj6NIOm" int2:invalidationBookmarkName="" int2:hashCode="hh0DzujvwXg+03" int2:id="LFkvz0r2">
      <int2:state int2:type="WordDesignerSuggestedImageAnnotation" int2:value="Reviewed"/>
    </int2:bookmark>
    <int2:bookmark int2:bookmarkName="_Int_rPTNkGM7" int2:invalidationBookmarkName="" int2:hashCode="Jr4nqKcfrZhhVZ" int2:id="Q5hxuvxU">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58d8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61c2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b356b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b5fbb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e97e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0ad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bf78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539d3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b3a5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ba46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DE25B"/>
    <w:rsid w:val="0273D385"/>
    <w:rsid w:val="02E09FAD"/>
    <w:rsid w:val="036098A5"/>
    <w:rsid w:val="107F6CC0"/>
    <w:rsid w:val="121FEACF"/>
    <w:rsid w:val="15FE1060"/>
    <w:rsid w:val="1CFD25F3"/>
    <w:rsid w:val="23E8E5D8"/>
    <w:rsid w:val="24238EED"/>
    <w:rsid w:val="2D550467"/>
    <w:rsid w:val="33AFE26B"/>
    <w:rsid w:val="3972B1E0"/>
    <w:rsid w:val="427D356D"/>
    <w:rsid w:val="44772524"/>
    <w:rsid w:val="4DBFBC27"/>
    <w:rsid w:val="4E2DE25B"/>
    <w:rsid w:val="676DC291"/>
    <w:rsid w:val="6D16AC83"/>
    <w:rsid w:val="70BFCA6F"/>
    <w:rsid w:val="70D496FB"/>
    <w:rsid w:val="7211F176"/>
    <w:rsid w:val="777DEF25"/>
    <w:rsid w:val="783A9257"/>
    <w:rsid w:val="7B3E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E25B"/>
  <w15:chartTrackingRefBased/>
  <w15:docId w15:val="{16339745-B131-4C62-AE0D-75A99B2341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adf0f216b834c11" /><Relationship Type="http://schemas.openxmlformats.org/officeDocument/2006/relationships/numbering" Target="numbering.xml" Id="R7127a015ec4e4a5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2024-12-01T14:59:23.9166467Z</dcterms:created>
  <dcterms:modified xsi:type="dcterms:W3CDTF">2024-12-01T15:15:06.9178236Z</dcterms:modified>
  <dc:creator>Nino Jintcharadze</dc:creator>
  <lastModifiedBy>Nino Jintcharadze</lastModifiedBy>
</coreProperties>
</file>