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color w:val="000000"/>
          <w:sz w:val="20"/>
        </w:rPr>
        <w:t xml:space="preserve">Abstract. </w:t>
      </w:r>
      <w:r>
        <w:rPr>
          <w:rFonts w:ascii="Times New Roman" w:hAnsi="Times New Roman"/>
          <w:b w:val="0"/>
          <w:i/>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color w:val="000000"/>
          <w:sz w:val="20"/>
        </w:rPr>
        <w:t xml:space="preserve">Keywords: </w:t>
      </w:r>
      <w:r>
        <w:rPr>
          <w:rFonts w:ascii="Times New Roman" w:hAnsi="Times New Roman"/>
          <w:b w:val="0"/>
          <w:i/>
          <w:color w:val="000000"/>
          <w:sz w:val="20"/>
        </w:rPr>
        <w:t>remaining useful life; survival analysis; censored data; deep learning; reverse osmosis; predictive maintenance; systematic literature review</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ectPr>
          <w:footerReference w:type="default" r:id="rId9"/>
          <w:pgSz w:w="12240" w:h="15840"/>
          <w:pgMar w:top="1152" w:right="1152" w:bottom="1152" w:left="1152" w:header="720" w:footer="720" w:gutter="0"/>
          <w:cols w:space="720"/>
          <w:docGrid w:linePitch="360"/>
        </w:sectPr>
      </w:pP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ind w:firstLine="425"/>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ind w:firstLine="425"/>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ind w:firstLine="425"/>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ind w:firstLine="425"/>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ind w:firstLine="425"/>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ind w:firstLine="425"/>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val="0"/>
          <w:color w:val="000000"/>
          <w:sz w:val="21"/>
        </w:rPr>
        <w:t xml:space="preserve">2.1 </w:t>
      </w:r>
      <w:r>
        <w:rPr>
          <w:rFonts w:ascii="Times New Roman" w:hAnsi="Times New Roman"/>
          <w:b/>
          <w:i/>
          <w:color w:val="000000"/>
          <w:sz w:val="21"/>
        </w:rPr>
        <w:t>Survival analysis</w:t>
      </w:r>
      <w:r>
        <w:rPr>
          <w:rFonts w:ascii="Times New Roman" w:hAnsi="Times New Roman"/>
          <w:b/>
          <w:i w:val="0"/>
          <w:color w:val="000000"/>
          <w:sz w:val="21"/>
        </w:rPr>
        <w:t xml:space="preserve"> dan data tersensor</w:t>
      </w:r>
    </w:p>
    <w:p>
      <w:pPr>
        <w:spacing w:before="0" w:after="0" w:line="240" w:lineRule="auto"/>
        <w:ind w:firstLine="425"/>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ind w:firstLine="425"/>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ind w:firstLine="425"/>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val="0"/>
          <w:color w:val="000000"/>
          <w:sz w:val="21"/>
        </w:rPr>
        <w:t xml:space="preserve">2.2 </w:t>
      </w:r>
      <w:r>
        <w:rPr>
          <w:rFonts w:ascii="Times New Roman" w:hAnsi="Times New Roman"/>
          <w:b/>
          <w:i/>
          <w:color w:val="000000"/>
          <w:sz w:val="21"/>
        </w:rPr>
        <w:t>Deep learning</w:t>
      </w:r>
      <w:r>
        <w:rPr>
          <w:rFonts w:ascii="Times New Roman" w:hAnsi="Times New Roman"/>
          <w:b/>
          <w:i w:val="0"/>
          <w:color w:val="000000"/>
          <w:sz w:val="21"/>
        </w:rPr>
        <w:t xml:space="preserve"> untuk </w:t>
      </w:r>
      <w:r>
        <w:rPr>
          <w:rFonts w:ascii="Times New Roman" w:hAnsi="Times New Roman"/>
          <w:b/>
          <w:i/>
          <w:color w:val="000000"/>
          <w:sz w:val="21"/>
        </w:rPr>
        <w:t>RUL</w:t>
      </w:r>
    </w:p>
    <w:p>
      <w:pPr>
        <w:spacing w:before="0" w:after="0" w:line="240" w:lineRule="auto"/>
        <w:ind w:firstLine="425"/>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val="0"/>
          <w:color w:val="000000"/>
          <w:sz w:val="21"/>
        </w:rPr>
        <w:t xml:space="preserve">2.3 </w:t>
      </w:r>
      <w:r>
        <w:rPr>
          <w:rFonts w:ascii="Times New Roman" w:hAnsi="Times New Roman"/>
          <w:b/>
          <w:i/>
          <w:color w:val="000000"/>
          <w:sz w:val="21"/>
        </w:rPr>
        <w:t>Bayesian</w:t>
      </w:r>
      <w:r>
        <w:rPr>
          <w:rFonts w:ascii="Times New Roman" w:hAnsi="Times New Roman"/>
          <w:b/>
          <w:i w:val="0"/>
          <w:color w:val="000000"/>
          <w:sz w:val="21"/>
        </w:rPr>
        <w:t xml:space="preserve"> dan kuantifikasi ketidakpastian</w:t>
      </w:r>
    </w:p>
    <w:p>
      <w:pPr>
        <w:spacing w:before="0" w:after="0" w:line="240" w:lineRule="auto"/>
        <w:ind w:firstLine="425"/>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ind w:firstLine="425"/>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val="0"/>
          <w:color w:val="000000"/>
          <w:sz w:val="21"/>
        </w:rPr>
        <w:t xml:space="preserve">2.4 Domain membran RO dan </w:t>
      </w:r>
      <w:r>
        <w:rPr>
          <w:rFonts w:ascii="Times New Roman" w:hAnsi="Times New Roman"/>
          <w:b/>
          <w:i/>
          <w:color w:val="000000"/>
          <w:sz w:val="21"/>
        </w:rPr>
        <w:t>DSS</w:t>
      </w:r>
      <w:r>
        <w:rPr>
          <w:rFonts w:ascii="Times New Roman" w:hAnsi="Times New Roman"/>
          <w:b/>
          <w:i w:val="0"/>
          <w:color w:val="000000"/>
          <w:sz w:val="21"/>
        </w:rPr>
        <w:t xml:space="preserve"> perawatan</w:t>
      </w:r>
    </w:p>
    <w:p>
      <w:pPr>
        <w:spacing w:before="0" w:after="0" w:line="240" w:lineRule="auto"/>
        <w:ind w:firstLine="425"/>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val="0"/>
          <w:color w:val="000000"/>
          <w:sz w:val="21"/>
        </w:rPr>
        <w:t>3.1 Protokol dan pedoman</w:t>
      </w:r>
    </w:p>
    <w:p>
      <w:pPr>
        <w:spacing w:before="0" w:after="0" w:line="240" w:lineRule="auto"/>
        <w:ind w:firstLine="425"/>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val="0"/>
          <w:color w:val="000000"/>
          <w:sz w:val="21"/>
        </w:rPr>
        <w:t xml:space="preserve">3.2 Pertanyaan riset dan </w:t>
      </w:r>
      <w:r>
        <w:rPr>
          <w:rFonts w:ascii="Times New Roman" w:hAnsi="Times New Roman"/>
          <w:b/>
          <w:i/>
          <w:color w:val="000000"/>
          <w:sz w:val="21"/>
        </w:rPr>
        <w:t>PICOC</w:t>
      </w:r>
    </w:p>
    <w:p>
      <w:pPr>
        <w:spacing w:before="0" w:after="0" w:line="240" w:lineRule="auto"/>
        <w:ind w:firstLine="425"/>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val="0"/>
          <w:color w:val="000000"/>
          <w:sz w:val="21"/>
        </w:rPr>
        <w:t>3.3 Strategi pencarian dan kriteria seleksi</w:t>
      </w:r>
    </w:p>
    <w:p>
      <w:pPr>
        <w:spacing w:before="0" w:after="0" w:line="240" w:lineRule="auto"/>
        <w:ind w:firstLine="425"/>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Pencarian dieksekusi pada Oktober 2026.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disajikan pada blok berikut.</w:t>
      </w:r>
    </w:p>
    <w:p>
      <w:pPr>
        <w:keepNext/>
        <w:spacing w:before="0" w:after="0" w:line="240" w:lineRule="auto"/>
        <w:jc w:val="left"/>
      </w:pPr>
      <w:r>
        <w:rPr>
          <w:rFonts w:ascii="Times New Roman" w:hAnsi="Times New Roman"/>
          <w:b/>
          <w:i w:val="0"/>
          <w:color w:val="000000"/>
          <w:sz w:val="18"/>
        </w:rPr>
        <w:t>Query Scopus (String A, untuk replikasi)</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tblBorders>
      </w:tblPr>
      <w:tblGrid>
        <w:gridCol w:w="4479"/>
      </w:tblGrid>
      <w:tr>
        <w:trPr>
          <w:cantSplit/>
        </w:trPr>
        <w:tc>
          <w:tcPr>
            <w:tcW w:type="dxa" w:w="4479"/>
            <w:shd w:val="clear" w:fill="F2F2F2"/>
          </w:tcPr>
          <w:p>
            <w:pPr>
              <w:spacing w:before="40" w:after="40" w:line="240" w:lineRule="auto"/>
              <w:jc w:val="left"/>
            </w:pPr>
            <w:r>
              <w:rPr>
                <w:rFonts w:ascii="Courier New" w:hAnsi="Courier New"/>
                <w:color w:val="000000"/>
                <w:sz w:val="15"/>
              </w:rPr>
              <w:t>TITLE-ABS-KEY (</w:t>
              <w:br/>
            </w:r>
            <w:r>
              <w:rPr>
                <w:rFonts w:ascii="Courier New" w:hAnsi="Courier New"/>
                <w:color w:val="000000"/>
                <w:sz w:val="15"/>
              </w:rPr>
              <w:t xml:space="preserve">  ("remaining useful life" OR "RUL" OR prognos*</w:t>
              <w:br/>
            </w:r>
            <w:r>
              <w:rPr>
                <w:rFonts w:ascii="Courier New" w:hAnsi="Courier New"/>
                <w:color w:val="000000"/>
                <w:sz w:val="15"/>
              </w:rPr>
              <w:t xml:space="preserve">   OR "predictive maintenance" OR "PHM")</w:t>
              <w:br/>
            </w:r>
            <w:r>
              <w:rPr>
                <w:rFonts w:ascii="Courier New" w:hAnsi="Courier New"/>
                <w:color w:val="000000"/>
                <w:sz w:val="15"/>
              </w:rPr>
              <w:t xml:space="preserve">  AND (censor* OR "survival analysis"</w:t>
              <w:br/>
            </w:r>
            <w:r>
              <w:rPr>
                <w:rFonts w:ascii="Courier New" w:hAnsi="Courier New"/>
                <w:color w:val="000000"/>
                <w:sz w:val="15"/>
              </w:rPr>
              <w:t xml:space="preserve">   OR Weibull OR "time-to-event")</w:t>
              <w:br/>
            </w:r>
            <w:r>
              <w:rPr>
                <w:rFonts w:ascii="Courier New" w:hAnsi="Courier New"/>
                <w:color w:val="000000"/>
                <w:sz w:val="15"/>
              </w:rPr>
              <w:t xml:space="preserve">  AND ("deep learning" OR "neural network"</w:t>
              <w:br/>
            </w:r>
            <w:r>
              <w:rPr>
                <w:rFonts w:ascii="Courier New" w:hAnsi="Courier New"/>
                <w:color w:val="000000"/>
                <w:sz w:val="15"/>
              </w:rPr>
              <w:t xml:space="preserve">   OR LSTM OR transformer OR "Bayesian")</w:t>
              <w:br/>
            </w:r>
            <w:r>
              <w:rPr>
                <w:rFonts w:ascii="Courier New" w:hAnsi="Courier New"/>
                <w:color w:val="000000"/>
                <w:sz w:val="15"/>
              </w:rPr>
              <w:t>)</w:t>
              <w:br/>
            </w:r>
            <w:r>
              <w:rPr>
                <w:rFonts w:ascii="Courier New" w:hAnsi="Courier New"/>
                <w:color w:val="000000"/>
                <w:sz w:val="15"/>
              </w:rPr>
              <w:t>AND PUBYEAR &gt; 2014</w:t>
            </w:r>
          </w:p>
        </w:tc>
      </w:tr>
    </w:tbl>
    <w:p>
      <w:pPr>
        <w:spacing w:before="0" w:after="0" w:line="240" w:lineRule="auto"/>
        <w:ind w:firstLine="425"/>
        <w:jc w:val="both"/>
      </w:pPr>
      <w:r>
        <w:rPr>
          <w:rFonts w:ascii="Times New Roman" w:hAnsi="Times New Roman"/>
          <w:b w:val="0"/>
          <w:i w:val="0"/>
          <w:color w:val="000000"/>
          <w:sz w:val="20"/>
        </w:rPr>
        <w:t xml:space="preserve">Database: </w:t>
      </w:r>
      <w:r>
        <w:rPr>
          <w:rFonts w:ascii="Times New Roman" w:hAnsi="Times New Roman"/>
          <w:b w:val="0"/>
          <w:i/>
          <w:color w:val="000000"/>
          <w:sz w:val="20"/>
        </w:rPr>
        <w:t>Scopus</w:t>
      </w:r>
      <w:r>
        <w:rPr>
          <w:rFonts w:ascii="Times New Roman" w:hAnsi="Times New Roman"/>
          <w:b w:val="0"/>
          <w:i w:val="0"/>
          <w:color w:val="000000"/>
          <w:sz w:val="20"/>
        </w:rPr>
        <w:t xml:space="preserve">. Filter: PUBYEAR &gt; 2014, artikel atau prosiding, bahasa Inggris. String ini disiapkan untuk replikasi dan belum dieksekusi pada korpus ini.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val="0"/>
          <w:color w:val="000000"/>
          <w:sz w:val="21"/>
        </w:rPr>
        <w:t xml:space="preserve">3.4 Proses seleksi dan </w:t>
      </w:r>
      <w:r>
        <w:rPr>
          <w:rFonts w:ascii="Times New Roman" w:hAnsi="Times New Roman"/>
          <w:b/>
          <w:i/>
          <w:color w:val="000000"/>
          <w:sz w:val="21"/>
        </w:rPr>
        <w:t>PRISMA</w:t>
      </w:r>
    </w:p>
    <w:p>
      <w:pPr>
        <w:spacing w:before="0" w:after="0" w:line="240" w:lineRule="auto"/>
        <w:ind w:firstLine="425"/>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val="0"/>
          <w:color w:val="000000"/>
          <w:sz w:val="21"/>
        </w:rPr>
        <w:t>3.5 Ekstraksi data dan penilaian kualitas</w:t>
      </w:r>
    </w:p>
    <w:p>
      <w:pPr>
        <w:spacing w:before="0" w:after="0" w:line="240" w:lineRule="auto"/>
        <w:ind w:firstLine="425"/>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val="0"/>
          <w:color w:val="000000"/>
          <w:sz w:val="21"/>
        </w:rPr>
        <w:t>3.6 Sintesis dan penentuan paper inti</w:t>
      </w:r>
    </w:p>
    <w:p>
      <w:pPr>
        <w:spacing w:before="0" w:after="0" w:line="240" w:lineRule="auto"/>
        <w:ind w:firstLine="425"/>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val="0"/>
          <w:color w:val="000000"/>
          <w:sz w:val="21"/>
        </w:rPr>
        <w:t xml:space="preserve">4.1 Alur </w:t>
      </w:r>
      <w:r>
        <w:rPr>
          <w:rFonts w:ascii="Times New Roman" w:hAnsi="Times New Roman"/>
          <w:b/>
          <w:i/>
          <w:color w:val="000000"/>
          <w:sz w:val="21"/>
        </w:rPr>
        <w:t>PRISMA</w:t>
      </w:r>
      <w:r>
        <w:rPr>
          <w:rFonts w:ascii="Times New Roman" w:hAnsi="Times New Roman"/>
          <w:b/>
          <w:i w:val="0"/>
          <w:color w:val="000000"/>
          <w:sz w:val="21"/>
        </w:rPr>
        <w:t xml:space="preserve"> dan korpus final</w:t>
      </w:r>
    </w:p>
    <w:p>
      <w:pPr>
        <w:spacing w:before="0" w:after="0" w:line="240" w:lineRule="auto"/>
        <w:ind w:firstLine="425"/>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xml:space="preserve">, dan 1 karena berada di luar cakupan domain. Dengan demikian, 79 artikel menjadi korpus sintesis. Meskipun jendela pencarian adalah 2015 sampai 2026, dua artikel seminal pra-2015 (2012 dan 2014) dimasukkan melalui </w:t>
      </w:r>
      <w:r>
        <w:rPr>
          <w:rFonts w:ascii="Times New Roman" w:hAnsi="Times New Roman"/>
          <w:b w:val="0"/>
          <w:i/>
          <w:color w:val="000000"/>
          <w:sz w:val="20"/>
        </w:rPr>
        <w:t>snowballing</w:t>
      </w:r>
      <w:r>
        <w:rPr>
          <w:rFonts w:ascii="Times New Roman" w:hAnsi="Times New Roman"/>
          <w:b w:val="0"/>
          <w:i w:val="0"/>
          <w:color w:val="000000"/>
          <w:sz w:val="20"/>
        </w:rPr>
        <w:t xml:space="preserve"> karena menjadi rujukan awal model proportional </w:t>
      </w:r>
      <w:r>
        <w:rPr>
          <w:rFonts w:ascii="Times New Roman" w:hAnsi="Times New Roman"/>
          <w:b w:val="0"/>
          <w:i/>
          <w:color w:val="000000"/>
          <w:sz w:val="20"/>
        </w:rPr>
        <w:t>hazard</w:t>
      </w:r>
      <w:r>
        <w:rPr>
          <w:rFonts w:ascii="Times New Roman" w:hAnsi="Times New Roman"/>
          <w:b w:val="0"/>
          <w:i w:val="0"/>
          <w:color w:val="000000"/>
          <w:sz w:val="20"/>
        </w:rPr>
        <w:t xml:space="preserve"> dan data tersensor tipe I.</w:t>
      </w:r>
    </w:p>
    <w:p>
      <w:pPr>
        <w:keepNext/>
        <w:spacing w:before="0" w:after="0" w:line="240" w:lineRule="auto"/>
        <w:jc w:val="center"/>
      </w:pPr>
      <w:r>
        <w:drawing>
          <wp:inline xmlns:a="http://schemas.openxmlformats.org/drawingml/2006/main" xmlns:pic="http://schemas.openxmlformats.org/drawingml/2006/picture">
            <wp:extent cx="2844000" cy="363843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2844000" cy="363843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Tahap PRISMA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w:t>
            </w:r>
          </w:p>
        </w:tc>
      </w:tr>
      <w:tr>
        <w:trPr>
          <w:cantSplit/>
        </w:trPr>
        <w:tc>
          <w:tcPr>
            <w:tcW w:type="dxa" w:w="3061"/>
          </w:tcPr>
          <w:p>
            <w:pPr>
              <w:spacing w:before="0" w:after="0" w:line="240" w:lineRule="auto"/>
              <w:jc w:val="center"/>
            </w:pPr>
            <w:r>
              <w:rPr>
                <w:rFonts w:ascii="Times New Roman" w:hAnsi="Times New Roman"/>
                <w:b w:val="0"/>
                <w:i w:val="0"/>
                <w:color w:val="000000"/>
                <w:sz w:val="14"/>
              </w:rPr>
              <w:t>Identifikasi (record unik)</w:t>
            </w:r>
          </w:p>
        </w:tc>
        <w:tc>
          <w:tcPr>
            <w:tcW w:type="dxa" w:w="1417"/>
          </w:tcPr>
          <w:p>
            <w:pPr>
              <w:spacing w:before="0" w:after="0" w:line="240" w:lineRule="auto"/>
              <w:jc w:val="center"/>
            </w:pPr>
            <w:r>
              <w:rPr>
                <w:rFonts w:ascii="Times New Roman" w:hAnsi="Times New Roman"/>
                <w:b w:val="0"/>
                <w:i w:val="0"/>
                <w:color w:val="000000"/>
                <w:sz w:val="14"/>
              </w:rPr>
              <w:t>694</w:t>
            </w:r>
          </w:p>
        </w:tc>
      </w:tr>
      <w:tr>
        <w:trPr>
          <w:cantSplit/>
        </w:trPr>
        <w:tc>
          <w:tcPr>
            <w:tcW w:type="dxa" w:w="3061"/>
          </w:tcPr>
          <w:p>
            <w:pPr>
              <w:spacing w:before="0" w:after="0" w:line="240" w:lineRule="auto"/>
              <w:jc w:val="center"/>
            </w:pPr>
            <w:r>
              <w:rPr>
                <w:rFonts w:ascii="Times New Roman" w:hAnsi="Times New Roman"/>
                <w:b w:val="0"/>
                <w:i w:val="0"/>
                <w:color w:val="000000"/>
                <w:sz w:val="14"/>
              </w:rPr>
              <w:t>Dihapus sebelum penyaringan</w:t>
            </w:r>
          </w:p>
        </w:tc>
        <w:tc>
          <w:tcPr>
            <w:tcW w:type="dxa" w:w="1417"/>
          </w:tcPr>
          <w:p>
            <w:pPr>
              <w:spacing w:before="0" w:after="0" w:line="240" w:lineRule="auto"/>
              <w:jc w:val="center"/>
            </w:pPr>
            <w:r>
              <w:rPr>
                <w:rFonts w:ascii="Times New Roman" w:hAnsi="Times New Roman"/>
                <w:b w:val="0"/>
                <w:i w:val="0"/>
                <w:color w:val="000000"/>
                <w:sz w:val="14"/>
              </w:rPr>
              <w:t>209</w:t>
            </w:r>
          </w:p>
        </w:tc>
      </w:tr>
      <w:tr>
        <w:trPr>
          <w:cantSplit/>
        </w:trPr>
        <w:tc>
          <w:tcPr>
            <w:tcW w:type="dxa" w:w="3061"/>
          </w:tcPr>
          <w:p>
            <w:pPr>
              <w:spacing w:before="0" w:after="0" w:line="240" w:lineRule="auto"/>
              <w:jc w:val="center"/>
            </w:pPr>
            <w:r>
              <w:rPr>
                <w:rFonts w:ascii="Times New Roman" w:hAnsi="Times New Roman"/>
                <w:b w:val="0"/>
                <w:i w:val="0"/>
                <w:color w:val="000000"/>
                <w:sz w:val="14"/>
              </w:rPr>
              <w:t>Disaring (judul/abstrak)</w:t>
            </w:r>
          </w:p>
        </w:tc>
        <w:tc>
          <w:tcPr>
            <w:tcW w:type="dxa" w:w="1417"/>
          </w:tcPr>
          <w:p>
            <w:pPr>
              <w:spacing w:before="0" w:after="0" w:line="240" w:lineRule="auto"/>
              <w:jc w:val="center"/>
            </w:pPr>
            <w:r>
              <w:rPr>
                <w:rFonts w:ascii="Times New Roman" w:hAnsi="Times New Roman"/>
                <w:b w:val="0"/>
                <w:i w:val="0"/>
                <w:color w:val="000000"/>
                <w:sz w:val="14"/>
              </w:rPr>
              <w:t>485</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(judul/abstrak)</w:t>
            </w:r>
          </w:p>
        </w:tc>
        <w:tc>
          <w:tcPr>
            <w:tcW w:type="dxa" w:w="1417"/>
          </w:tcPr>
          <w:p>
            <w:pPr>
              <w:spacing w:before="0" w:after="0" w:line="240" w:lineRule="auto"/>
              <w:jc w:val="center"/>
            </w:pPr>
            <w:r>
              <w:rPr>
                <w:rFonts w:ascii="Times New Roman" w:hAnsi="Times New Roman"/>
                <w:b w:val="0"/>
                <w:i w:val="0"/>
                <w:color w:val="000000"/>
                <w:sz w:val="14"/>
              </w:rPr>
              <w:t>413</w:t>
            </w:r>
          </w:p>
        </w:tc>
      </w:tr>
      <w:tr>
        <w:trPr>
          <w:cantSplit/>
        </w:trPr>
        <w:tc>
          <w:tcPr>
            <w:tcW w:type="dxa" w:w="3061"/>
          </w:tcPr>
          <w:p>
            <w:pPr>
              <w:spacing w:before="0" w:after="0" w:line="240" w:lineRule="auto"/>
              <w:jc w:val="center"/>
            </w:pPr>
            <w:r>
              <w:rPr>
                <w:rFonts w:ascii="Times New Roman" w:hAnsi="Times New Roman"/>
                <w:b w:val="0"/>
                <w:i w:val="0"/>
                <w:color w:val="000000"/>
                <w:sz w:val="14"/>
              </w:rPr>
              <w:t>Layak dari pencarian basis data</w:t>
            </w:r>
          </w:p>
        </w:tc>
        <w:tc>
          <w:tcPr>
            <w:tcW w:type="dxa" w:w="1417"/>
          </w:tcPr>
          <w:p>
            <w:pPr>
              <w:spacing w:before="0" w:after="0" w:line="240" w:lineRule="auto"/>
              <w:jc w:val="center"/>
            </w:pPr>
            <w:r>
              <w:rPr>
                <w:rFonts w:ascii="Times New Roman" w:hAnsi="Times New Roman"/>
                <w:b w:val="0"/>
                <w:i w:val="0"/>
                <w:color w:val="000000"/>
                <w:sz w:val="14"/>
              </w:rPr>
              <w:t>72</w:t>
            </w:r>
          </w:p>
        </w:tc>
      </w:tr>
      <w:tr>
        <w:trPr>
          <w:cantSplit/>
        </w:trPr>
        <w:tc>
          <w:tcPr>
            <w:tcW w:type="dxa" w:w="3061"/>
          </w:tcPr>
          <w:p>
            <w:pPr>
              <w:spacing w:before="0" w:after="0" w:line="240" w:lineRule="auto"/>
              <w:jc w:val="center"/>
            </w:pPr>
            <w:r>
              <w:rPr>
                <w:rFonts w:ascii="Times New Roman" w:hAnsi="Times New Roman"/>
                <w:b w:val="0"/>
                <w:i w:val="0"/>
                <w:color w:val="000000"/>
                <w:sz w:val="14"/>
              </w:rPr>
              <w:t>Ditambah snowballing dan OA</w:t>
            </w:r>
          </w:p>
        </w:tc>
        <w:tc>
          <w:tcPr>
            <w:tcW w:type="dxa" w:w="1417"/>
          </w:tcPr>
          <w:p>
            <w:pPr>
              <w:spacing w:before="0" w:after="0" w:line="240" w:lineRule="auto"/>
              <w:jc w:val="center"/>
            </w:pPr>
            <w:r>
              <w:rPr>
                <w:rFonts w:ascii="Times New Roman" w:hAnsi="Times New Roman"/>
                <w:b w:val="0"/>
                <w:i w:val="0"/>
                <w:color w:val="000000"/>
                <w:sz w:val="14"/>
              </w:rPr>
              <w:t>29</w:t>
            </w:r>
          </w:p>
        </w:tc>
      </w:tr>
      <w:tr>
        <w:trPr>
          <w:cantSplit/>
        </w:trPr>
        <w:tc>
          <w:tcPr>
            <w:tcW w:type="dxa" w:w="3061"/>
          </w:tcPr>
          <w:p>
            <w:pPr>
              <w:spacing w:before="0" w:after="0" w:line="240" w:lineRule="auto"/>
              <w:jc w:val="center"/>
            </w:pPr>
            <w:r>
              <w:rPr>
                <w:rFonts w:ascii="Times New Roman" w:hAnsi="Times New Roman"/>
                <w:b w:val="0"/>
                <w:i w:val="0"/>
                <w:color w:val="000000"/>
                <w:sz w:val="14"/>
              </w:rPr>
              <w:t>Dinilai kelayakannya</w:t>
            </w:r>
          </w:p>
        </w:tc>
        <w:tc>
          <w:tcPr>
            <w:tcW w:type="dxa" w:w="1417"/>
          </w:tcPr>
          <w:p>
            <w:pPr>
              <w:spacing w:before="0" w:after="0" w:line="240" w:lineRule="auto"/>
              <w:jc w:val="center"/>
            </w:pPr>
            <w:r>
              <w:rPr>
                <w:rFonts w:ascii="Times New Roman" w:hAnsi="Times New Roman"/>
                <w:b w:val="0"/>
                <w:i w:val="0"/>
                <w:color w:val="000000"/>
                <w:sz w:val="14"/>
              </w:rPr>
              <w:t>101</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(eligibilitas)</w:t>
            </w:r>
          </w:p>
        </w:tc>
        <w:tc>
          <w:tcPr>
            <w:tcW w:type="dxa" w:w="1417"/>
          </w:tcPr>
          <w:p>
            <w:pPr>
              <w:spacing w:before="0" w:after="0" w:line="240" w:lineRule="auto"/>
              <w:jc w:val="center"/>
            </w:pPr>
            <w:r>
              <w:rPr>
                <w:rFonts w:ascii="Times New Roman" w:hAnsi="Times New Roman"/>
                <w:b w:val="0"/>
                <w:i w:val="0"/>
                <w:color w:val="000000"/>
                <w:sz w:val="14"/>
              </w:rPr>
              <w:t>22</w:t>
            </w:r>
          </w:p>
        </w:tc>
      </w:tr>
      <w:tr>
        <w:trPr>
          <w:cantSplit/>
        </w:trPr>
        <w:tc>
          <w:tcPr>
            <w:tcW w:type="dxa" w:w="3061"/>
          </w:tcPr>
          <w:p>
            <w:pPr>
              <w:spacing w:before="0" w:after="0" w:line="240" w:lineRule="auto"/>
              <w:jc w:val="center"/>
            </w:pPr>
            <w:r>
              <w:rPr>
                <w:rFonts w:ascii="Times New Roman" w:hAnsi="Times New Roman"/>
                <w:b w:val="0"/>
                <w:i w:val="0"/>
                <w:color w:val="000000"/>
                <w:sz w:val="14"/>
              </w:rPr>
              <w:t>Termasuk dalam sintesis</w:t>
            </w:r>
          </w:p>
        </w:tc>
        <w:tc>
          <w:tcPr>
            <w:tcW w:type="dxa" w:w="1417"/>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4.2 Sebaran pilar</w:t>
      </w:r>
    </w:p>
    <w:p>
      <w:pPr>
        <w:spacing w:before="0" w:after="0" w:line="240" w:lineRule="auto"/>
        <w:ind w:firstLine="425"/>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2844000" cy="1291316"/>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Pilar/Tema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r>
      <w:tr>
        <w:trPr>
          <w:cantSplit/>
        </w:trPr>
        <w:tc>
          <w:tcPr>
            <w:tcW w:type="dxa" w:w="3061"/>
          </w:tcPr>
          <w:p>
            <w:pPr>
              <w:spacing w:before="0" w:after="0" w:line="240" w:lineRule="auto"/>
              <w:jc w:val="center"/>
            </w:pPr>
            <w:r>
              <w:rPr>
                <w:rFonts w:ascii="Times New Roman" w:hAnsi="Times New Roman"/>
                <w:b w:val="0"/>
                <w:i w:val="0"/>
                <w:color w:val="000000"/>
                <w:sz w:val="14"/>
              </w:rPr>
              <w:t>A. Survival Analysis dan Censored Data</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B. Deep Learning RUL</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C. Bayesian dan Uncertainty</w:t>
            </w:r>
          </w:p>
        </w:tc>
        <w:tc>
          <w:tcPr>
            <w:tcW w:type="dxa" w:w="1417"/>
          </w:tcPr>
          <w:p>
            <w:pPr>
              <w:spacing w:before="0" w:after="0" w:line="240" w:lineRule="auto"/>
              <w:jc w:val="center"/>
            </w:pPr>
            <w:r>
              <w:rPr>
                <w:rFonts w:ascii="Times New Roman" w:hAnsi="Times New Roman"/>
                <w:b w:val="0"/>
                <w:i w:val="0"/>
                <w:color w:val="000000"/>
                <w:sz w:val="14"/>
              </w:rPr>
              <w:t>15</w:t>
            </w:r>
          </w:p>
        </w:tc>
      </w:tr>
      <w:tr>
        <w:trPr>
          <w:cantSplit/>
        </w:trPr>
        <w:tc>
          <w:tcPr>
            <w:tcW w:type="dxa" w:w="3061"/>
          </w:tcPr>
          <w:p>
            <w:pPr>
              <w:spacing w:before="0" w:after="0" w:line="240" w:lineRule="auto"/>
              <w:jc w:val="center"/>
            </w:pPr>
            <w:r>
              <w:rPr>
                <w:rFonts w:ascii="Times New Roman" w:hAnsi="Times New Roman"/>
                <w:b w:val="0"/>
                <w:i w:val="0"/>
                <w:color w:val="000000"/>
                <w:sz w:val="14"/>
              </w:rPr>
              <w:t>D. Small-data/Transfer/Hierarchical</w:t>
            </w:r>
          </w:p>
        </w:tc>
        <w:tc>
          <w:tcPr>
            <w:tcW w:type="dxa" w:w="1417"/>
          </w:tcPr>
          <w:p>
            <w:pPr>
              <w:spacing w:before="0" w:after="0" w:line="240" w:lineRule="auto"/>
              <w:jc w:val="center"/>
            </w:pPr>
            <w:r>
              <w:rPr>
                <w:rFonts w:ascii="Times New Roman" w:hAnsi="Times New Roman"/>
                <w:b w:val="0"/>
                <w:i w:val="0"/>
                <w:color w:val="000000"/>
                <w:sz w:val="14"/>
              </w:rPr>
              <w:t>9</w:t>
            </w:r>
          </w:p>
        </w:tc>
      </w:tr>
      <w:tr>
        <w:trPr>
          <w:cantSplit/>
        </w:trPr>
        <w:tc>
          <w:tcPr>
            <w:tcW w:type="dxa" w:w="3061"/>
          </w:tcPr>
          <w:p>
            <w:pPr>
              <w:spacing w:before="0" w:after="0" w:line="240" w:lineRule="auto"/>
              <w:jc w:val="center"/>
            </w:pPr>
            <w:r>
              <w:rPr>
                <w:rFonts w:ascii="Times New Roman" w:hAnsi="Times New Roman"/>
                <w:b w:val="0"/>
                <w:i w:val="0"/>
                <w:color w:val="000000"/>
                <w:sz w:val="14"/>
              </w:rPr>
              <w:t>E. Membrane/RO/Desalination</w:t>
            </w:r>
          </w:p>
        </w:tc>
        <w:tc>
          <w:tcPr>
            <w:tcW w:type="dxa" w:w="1417"/>
          </w:tcPr>
          <w:p>
            <w:pPr>
              <w:spacing w:before="0" w:after="0" w:line="240" w:lineRule="auto"/>
              <w:jc w:val="center"/>
            </w:pPr>
            <w:r>
              <w:rPr>
                <w:rFonts w:ascii="Times New Roman" w:hAnsi="Times New Roman"/>
                <w:b w:val="0"/>
                <w:i w:val="0"/>
                <w:color w:val="000000"/>
                <w:sz w:val="14"/>
              </w:rPr>
              <w:t>1</w:t>
            </w:r>
          </w:p>
        </w:tc>
      </w:tr>
      <w:tr>
        <w:trPr>
          <w:cantSplit/>
        </w:trPr>
        <w:tc>
          <w:tcPr>
            <w:tcW w:type="dxa" w:w="3061"/>
          </w:tcPr>
          <w:p>
            <w:pPr>
              <w:spacing w:before="0" w:after="0" w:line="240" w:lineRule="auto"/>
              <w:jc w:val="center"/>
            </w:pPr>
            <w:r>
              <w:rPr>
                <w:rFonts w:ascii="Times New Roman" w:hAnsi="Times New Roman"/>
                <w:b w:val="0"/>
                <w:i w:val="0"/>
                <w:color w:val="000000"/>
                <w:sz w:val="14"/>
              </w:rPr>
              <w:t>F. DSS dan Predictive Maintenance</w:t>
            </w:r>
          </w:p>
        </w:tc>
        <w:tc>
          <w:tcPr>
            <w:tcW w:type="dxa" w:w="1417"/>
          </w:tcPr>
          <w:p>
            <w:pPr>
              <w:spacing w:before="0" w:after="0" w:line="240" w:lineRule="auto"/>
              <w:jc w:val="center"/>
            </w:pPr>
            <w:r>
              <w:rPr>
                <w:rFonts w:ascii="Times New Roman" w:hAnsi="Times New Roman"/>
                <w:b w:val="0"/>
                <w:i w:val="0"/>
                <w:color w:val="000000"/>
                <w:sz w:val="14"/>
              </w:rPr>
              <w:t>6</w:t>
            </w:r>
          </w:p>
        </w:tc>
      </w:tr>
      <w:tr>
        <w:trPr>
          <w:cantSplit/>
        </w:trPr>
        <w:tc>
          <w:tcPr>
            <w:tcW w:type="dxa" w:w="3061"/>
          </w:tcPr>
          <w:p>
            <w:pPr>
              <w:spacing w:before="0" w:after="0" w:line="240" w:lineRule="auto"/>
              <w:jc w:val="center"/>
            </w:pPr>
            <w:r>
              <w:rPr>
                <w:rFonts w:ascii="Times New Roman" w:hAnsi="Times New Roman"/>
                <w:b w:val="0"/>
                <w:i w:val="0"/>
                <w:color w:val="000000"/>
                <w:sz w:val="14"/>
              </w:rPr>
              <w:t>G. Konteks Indonesia/Air</w:t>
            </w:r>
          </w:p>
        </w:tc>
        <w:tc>
          <w:tcPr>
            <w:tcW w:type="dxa" w:w="1417"/>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1"/>
        </w:rPr>
        <w:t>4.3 Matriks konsep dan sebaran dimensi</w:t>
      </w:r>
    </w:p>
    <w:p>
      <w:pPr>
        <w:spacing w:before="0" w:after="0" w:line="240" w:lineRule="auto"/>
        <w:ind w:firstLine="425"/>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2844000" cy="1291316"/>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2324"/>
        <w:gridCol w:w="1134"/>
        <w:gridCol w:w="1020"/>
      </w:tblGrid>
      <w:tr>
        <w:trPr>
          <w:cantSplit/>
          <w:tblHeader/>
        </w:trPr>
        <w:tc>
          <w:tcPr>
            <w:tcW w:type="dxa" w:w="2324"/>
            <w:tcBorders>
              <w:bottom w:val="single" w:sz="8" w:space="0" w:color="000000"/>
            </w:tcBorders>
          </w:tcPr>
          <w:p>
            <w:pPr>
              <w:spacing w:before="0" w:after="0" w:line="240" w:lineRule="auto"/>
              <w:jc w:val="center"/>
            </w:pPr>
            <w:r>
              <w:rPr>
                <w:rFonts w:ascii="Times New Roman" w:hAnsi="Times New Roman"/>
                <w:b/>
                <w:i w:val="0"/>
                <w:color w:val="000000"/>
                <w:sz w:val="14"/>
              </w:rPr>
              <w:t>Dimensi Konsep</w:t>
            </w:r>
          </w:p>
        </w:tc>
        <w:tc>
          <w:tcPr>
            <w:tcW w:type="dxa" w:w="1134"/>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c>
          <w:tcPr>
            <w:tcW w:type="dxa" w:w="1020"/>
            <w:tcBorders>
              <w:bottom w:val="single" w:sz="8" w:space="0" w:color="000000"/>
            </w:tcBorders>
          </w:tcPr>
          <w:p>
            <w:pPr>
              <w:spacing w:before="0" w:after="0" w:line="240" w:lineRule="auto"/>
              <w:jc w:val="center"/>
            </w:pPr>
            <w:r>
              <w:rPr>
                <w:rFonts w:ascii="Times New Roman" w:hAnsi="Times New Roman"/>
                <w:b/>
                <w:i w:val="0"/>
                <w:color w:val="000000"/>
                <w:sz w:val="14"/>
              </w:rPr>
              <w:t>/ Total</w:t>
            </w:r>
          </w:p>
        </w:tc>
      </w:tr>
      <w:tr>
        <w:trPr>
          <w:cantSplit/>
        </w:trPr>
        <w:tc>
          <w:tcPr>
            <w:tcW w:type="dxa" w:w="2324"/>
          </w:tcPr>
          <w:p>
            <w:pPr>
              <w:spacing w:before="0" w:after="0" w:line="240" w:lineRule="auto"/>
              <w:jc w:val="center"/>
            </w:pPr>
            <w:r>
              <w:rPr>
                <w:rFonts w:ascii="Times New Roman" w:hAnsi="Times New Roman"/>
                <w:b w:val="0"/>
                <w:i w:val="0"/>
                <w:color w:val="000000"/>
                <w:sz w:val="14"/>
              </w:rPr>
              <w:t>D1 Data/Sensor</w:t>
            </w:r>
          </w:p>
        </w:tc>
        <w:tc>
          <w:tcPr>
            <w:tcW w:type="dxa" w:w="1134"/>
          </w:tcPr>
          <w:p>
            <w:pPr>
              <w:spacing w:before="0" w:after="0" w:line="240" w:lineRule="auto"/>
              <w:jc w:val="center"/>
            </w:pPr>
            <w:r>
              <w:rPr>
                <w:rFonts w:ascii="Times New Roman" w:hAnsi="Times New Roman"/>
                <w:b w:val="0"/>
                <w:i w:val="0"/>
                <w:color w:val="000000"/>
                <w:sz w:val="14"/>
              </w:rPr>
              <w:t>73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D2 Target/Failure</w:t>
            </w:r>
          </w:p>
        </w:tc>
        <w:tc>
          <w:tcPr>
            <w:tcW w:type="dxa" w:w="1134"/>
          </w:tcPr>
          <w:p>
            <w:pPr>
              <w:spacing w:before="0" w:after="0" w:line="240" w:lineRule="auto"/>
              <w:jc w:val="center"/>
            </w:pPr>
            <w:r>
              <w:rPr>
                <w:rFonts w:ascii="Times New Roman" w:hAnsi="Times New Roman"/>
                <w:b w:val="0"/>
                <w:i w:val="0"/>
                <w:color w:val="000000"/>
                <w:sz w:val="14"/>
              </w:rPr>
              <w:t>79</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D3 Censoring</w:t>
            </w:r>
          </w:p>
        </w:tc>
        <w:tc>
          <w:tcPr>
            <w:tcW w:type="dxa" w:w="1134"/>
          </w:tcPr>
          <w:p>
            <w:pPr>
              <w:spacing w:before="0" w:after="0" w:line="240" w:lineRule="auto"/>
              <w:jc w:val="center"/>
            </w:pPr>
            <w:r>
              <w:rPr>
                <w:rFonts w:ascii="Times New Roman" w:hAnsi="Times New Roman"/>
                <w:b w:val="0"/>
                <w:i w:val="0"/>
                <w:color w:val="000000"/>
                <w:sz w:val="14"/>
              </w:rPr>
              <w:t>28</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D4 Arsitektur Model</w:t>
            </w:r>
          </w:p>
        </w:tc>
        <w:tc>
          <w:tcPr>
            <w:tcW w:type="dxa" w:w="1134"/>
          </w:tcPr>
          <w:p>
            <w:pPr>
              <w:spacing w:before="0" w:after="0" w:line="240" w:lineRule="auto"/>
              <w:jc w:val="center"/>
            </w:pPr>
            <w:r>
              <w:rPr>
                <w:rFonts w:ascii="Times New Roman" w:hAnsi="Times New Roman"/>
                <w:b w:val="0"/>
                <w:i w:val="0"/>
                <w:color w:val="000000"/>
                <w:sz w:val="14"/>
              </w:rPr>
              <w:t>76</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D5 Ketidakpastian</w:t>
            </w:r>
          </w:p>
        </w:tc>
        <w:tc>
          <w:tcPr>
            <w:tcW w:type="dxa" w:w="1134"/>
          </w:tcPr>
          <w:p>
            <w:pPr>
              <w:spacing w:before="0" w:after="0" w:line="240" w:lineRule="auto"/>
              <w:jc w:val="center"/>
            </w:pPr>
            <w:r>
              <w:rPr>
                <w:rFonts w:ascii="Times New Roman" w:hAnsi="Times New Roman"/>
                <w:b w:val="0"/>
                <w:i w:val="0"/>
                <w:color w:val="000000"/>
                <w:sz w:val="14"/>
              </w:rPr>
              <w:t>43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D6 Keputusan/DSS</w:t>
            </w:r>
          </w:p>
        </w:tc>
        <w:tc>
          <w:tcPr>
            <w:tcW w:type="dxa" w:w="1134"/>
          </w:tcPr>
          <w:p>
            <w:pPr>
              <w:spacing w:before="0" w:after="0" w:line="240" w:lineRule="auto"/>
              <w:jc w:val="center"/>
            </w:pPr>
            <w:r>
              <w:rPr>
                <w:rFonts w:ascii="Times New Roman" w:hAnsi="Times New Roman"/>
                <w:b w:val="0"/>
                <w:i w:val="0"/>
                <w:color w:val="000000"/>
                <w:sz w:val="14"/>
              </w:rPr>
              <w:t>21</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D7 Domain RO/Membran</w:t>
            </w:r>
          </w:p>
        </w:tc>
        <w:tc>
          <w:tcPr>
            <w:tcW w:type="dxa" w:w="1134"/>
          </w:tcPr>
          <w:p>
            <w:pPr>
              <w:spacing w:before="0" w:after="0" w:line="240" w:lineRule="auto"/>
              <w:jc w:val="center"/>
            </w:pPr>
            <w:r>
              <w:rPr>
                <w:rFonts w:ascii="Times New Roman" w:hAnsi="Times New Roman"/>
                <w:b w:val="0"/>
                <w:i w:val="0"/>
                <w:color w:val="000000"/>
                <w:sz w:val="14"/>
              </w:rPr>
              <w:t>2</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D8 Skala Data</w:t>
            </w:r>
          </w:p>
        </w:tc>
        <w:tc>
          <w:tcPr>
            <w:tcW w:type="dxa" w:w="1134"/>
          </w:tcPr>
          <w:p>
            <w:pPr>
              <w:spacing w:before="0" w:after="0" w:line="240" w:lineRule="auto"/>
              <w:jc w:val="center"/>
            </w:pPr>
            <w:r>
              <w:rPr>
                <w:rFonts w:ascii="Times New Roman" w:hAnsi="Times New Roman"/>
                <w:b w:val="0"/>
                <w:i w:val="0"/>
                <w:color w:val="000000"/>
                <w:sz w:val="14"/>
              </w:rPr>
              <w:t>31</w:t>
            </w:r>
          </w:p>
        </w:tc>
        <w:tc>
          <w:tcPr>
            <w:tcW w:type="dxa" w:w="1020"/>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 xml:space="preserve">4.4 Paper inti dan </w:t>
      </w:r>
      <w:r>
        <w:rPr>
          <w:rFonts w:ascii="Times New Roman" w:hAnsi="Times New Roman"/>
          <w:b/>
          <w:i/>
          <w:color w:val="000000"/>
          <w:sz w:val="21"/>
        </w:rPr>
        <w:t>core paper</w:t>
      </w:r>
    </w:p>
    <w:p>
      <w:pPr>
        <w:spacing w:before="0" w:after="0" w:line="240" w:lineRule="auto"/>
        <w:ind w:firstLine="425"/>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2844000" cy="1296628"/>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3"/>
                    <a:stretch>
                      <a:fillRect/>
                    </a:stretch>
                  </pic:blipFill>
                  <pic:spPr>
                    <a:xfrm>
                      <a:off x="0" y="0"/>
                      <a:ext cx="2844000" cy="1296628"/>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454"/>
        <w:gridCol w:w="680"/>
        <w:gridCol w:w="2891"/>
        <w:gridCol w:w="454"/>
      </w:tblGrid>
      <w:tr>
        <w:trPr>
          <w:cantSplit/>
          <w:tblHeader/>
        </w:trPr>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No</w:t>
            </w:r>
          </w:p>
        </w:tc>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4"/>
              </w:rPr>
              <w:t>Tahun</w:t>
            </w:r>
          </w:p>
        </w:tc>
        <w:tc>
          <w:tcPr>
            <w:tcW w:type="dxa" w:w="2891"/>
            <w:tcBorders>
              <w:bottom w:val="single" w:sz="8" w:space="0" w:color="000000"/>
            </w:tcBorders>
          </w:tcPr>
          <w:p>
            <w:pPr>
              <w:spacing w:before="0" w:after="0" w:line="240" w:lineRule="auto"/>
              <w:jc w:val="center"/>
            </w:pPr>
            <w:r>
              <w:rPr>
                <w:rFonts w:ascii="Times New Roman" w:hAnsi="Times New Roman"/>
                <w:b/>
                <w:i w:val="0"/>
                <w:color w:val="000000"/>
                <w:sz w:val="14"/>
              </w:rPr>
              <w:t>Judul</w:t>
            </w:r>
          </w:p>
        </w:tc>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Pilar</w:t>
            </w:r>
          </w:p>
        </w:tc>
      </w:tr>
      <w:tr>
        <w:trPr>
          <w:cantSplit/>
        </w:trPr>
        <w:tc>
          <w:tcPr>
            <w:tcW w:type="dxa" w:w="454"/>
          </w:tcPr>
          <w:p>
            <w:pPr>
              <w:spacing w:before="0" w:after="0" w:line="240" w:lineRule="auto"/>
              <w:jc w:val="center"/>
            </w:pPr>
            <w:r>
              <w:rPr>
                <w:rFonts w:ascii="Times New Roman" w:hAnsi="Times New Roman"/>
                <w:b w:val="0"/>
                <w:i w:val="0"/>
                <w:color w:val="000000"/>
                <w:sz w:val="14"/>
              </w:rPr>
              <w:t>11</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A Neural Network-Based Survival Analysis Model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12</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LSTM and Transformers based methods for RUL Prediction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13</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 Models for Predictive Maintenance and Remaining Useful Life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48</w:t>
            </w:r>
          </w:p>
        </w:tc>
        <w:tc>
          <w:tcPr>
            <w:tcW w:type="dxa" w:w="680"/>
          </w:tcPr>
          <w:p>
            <w:pPr>
              <w:spacing w:before="0" w:after="0" w:line="240" w:lineRule="auto"/>
              <w:jc w:val="center"/>
            </w:pPr>
            <w:r>
              <w:rPr>
                <w:rFonts w:ascii="Times New Roman" w:hAnsi="Times New Roman"/>
                <w:b w:val="0"/>
                <w:i w:val="0"/>
                <w:color w:val="000000"/>
                <w:sz w:val="14"/>
              </w:rPr>
              <w:t>2019</w:t>
            </w:r>
          </w:p>
        </w:tc>
        <w:tc>
          <w:tcPr>
            <w:tcW w:type="dxa" w:w="2891"/>
          </w:tcPr>
          <w:p>
            <w:pPr>
              <w:spacing w:before="0" w:after="0" w:line="240" w:lineRule="auto"/>
              <w:jc w:val="center"/>
            </w:pPr>
            <w:r>
              <w:rPr>
                <w:rFonts w:ascii="Times New Roman" w:hAnsi="Times New Roman"/>
                <w:b w:val="0"/>
                <w:i w:val="0"/>
                <w:color w:val="000000"/>
                <w:sz w:val="14"/>
              </w:rPr>
              <w:t>Data-driven Prognostics with Predictive Uncertainty Estimation</w:t>
            </w:r>
          </w:p>
        </w:tc>
        <w:tc>
          <w:tcPr>
            <w:tcW w:type="dxa" w:w="454"/>
          </w:tcPr>
          <w:p>
            <w:pPr>
              <w:spacing w:before="0" w:after="0" w:line="240" w:lineRule="auto"/>
              <w:jc w:val="center"/>
            </w:pPr>
            <w:r>
              <w:rPr>
                <w:rFonts w:ascii="Times New Roman" w:hAnsi="Times New Roman"/>
                <w:b w:val="0"/>
                <w:i w:val="0"/>
                <w:color w:val="000000"/>
                <w:sz w:val="14"/>
              </w:rPr>
              <w:t>C</w:t>
            </w:r>
          </w:p>
        </w:tc>
      </w:tr>
      <w:tr>
        <w:trPr>
          <w:cantSplit/>
        </w:trPr>
        <w:tc>
          <w:tcPr>
            <w:tcW w:type="dxa" w:w="454"/>
          </w:tcPr>
          <w:p>
            <w:pPr>
              <w:spacing w:before="0" w:after="0" w:line="240" w:lineRule="auto"/>
              <w:jc w:val="center"/>
            </w:pPr>
            <w:r>
              <w:rPr>
                <w:rFonts w:ascii="Times New Roman" w:hAnsi="Times New Roman"/>
                <w:b w:val="0"/>
                <w:i w:val="0"/>
                <w:color w:val="000000"/>
                <w:sz w:val="14"/>
              </w:rPr>
              <w:t>64</w:t>
            </w:r>
          </w:p>
        </w:tc>
        <w:tc>
          <w:tcPr>
            <w:tcW w:type="dxa" w:w="680"/>
          </w:tcPr>
          <w:p>
            <w:pPr>
              <w:spacing w:before="0" w:after="0" w:line="240" w:lineRule="auto"/>
              <w:jc w:val="center"/>
            </w:pPr>
            <w:r>
              <w:rPr>
                <w:rFonts w:ascii="Times New Roman" w:hAnsi="Times New Roman"/>
                <w:b w:val="0"/>
                <w:i w:val="0"/>
                <w:color w:val="000000"/>
                <w:sz w:val="14"/>
              </w:rPr>
              <w:t>2020</w:t>
            </w:r>
          </w:p>
        </w:tc>
        <w:tc>
          <w:tcPr>
            <w:tcW w:type="dxa" w:w="2891"/>
          </w:tcPr>
          <w:p>
            <w:pPr>
              <w:spacing w:before="0" w:after="0" w:line="240" w:lineRule="auto"/>
              <w:jc w:val="center"/>
            </w:pPr>
            <w:r>
              <w:rPr>
                <w:rFonts w:ascii="Times New Roman" w:hAnsi="Times New Roman"/>
                <w:b w:val="0"/>
                <w:i w:val="0"/>
                <w:color w:val="000000"/>
                <w:sz w:val="14"/>
              </w:rPr>
              <w:t>General Log-Linear Weibull Model Combining Vibration and Temperature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w:t>
            </w:r>
          </w:p>
        </w:tc>
        <w:tc>
          <w:tcPr>
            <w:tcW w:type="dxa" w:w="680"/>
          </w:tcPr>
          <w:p>
            <w:pPr>
              <w:spacing w:before="0" w:after="0" w:line="240" w:lineRule="auto"/>
              <w:jc w:val="center"/>
            </w:pPr>
            <w:r>
              <w:rPr>
                <w:rFonts w:ascii="Times New Roman" w:hAnsi="Times New Roman"/>
                <w:b w:val="0"/>
                <w:i w:val="0"/>
                <w:color w:val="000000"/>
                <w:sz w:val="14"/>
              </w:rPr>
              <w:t>2016</w:t>
            </w:r>
          </w:p>
        </w:tc>
        <w:tc>
          <w:tcPr>
            <w:tcW w:type="dxa" w:w="2891"/>
          </w:tcPr>
          <w:p>
            <w:pPr>
              <w:spacing w:before="0" w:after="0" w:line="240" w:lineRule="auto"/>
              <w:jc w:val="center"/>
            </w:pPr>
            <w:r>
              <w:rPr>
                <w:rFonts w:ascii="Times New Roman" w:hAnsi="Times New Roman"/>
                <w:b w:val="0"/>
                <w:i w:val="0"/>
                <w:color w:val="000000"/>
                <w:sz w:val="14"/>
              </w:rPr>
              <w:t>Remaining useful life estimation in heterogeneous fleets</w:t>
            </w:r>
          </w:p>
        </w:tc>
        <w:tc>
          <w:tcPr>
            <w:tcW w:type="dxa" w:w="454"/>
          </w:tcPr>
          <w:p>
            <w:pPr>
              <w:spacing w:before="0" w:after="0" w:line="240" w:lineRule="auto"/>
              <w:jc w:val="center"/>
            </w:pPr>
            <w:r>
              <w:rPr>
                <w:rFonts w:ascii="Times New Roman" w:hAnsi="Times New Roman"/>
                <w:b w:val="0"/>
                <w:i w:val="0"/>
                <w:color w:val="000000"/>
                <w:sz w:val="14"/>
              </w:rPr>
              <w:t>D</w:t>
            </w:r>
          </w:p>
        </w:tc>
      </w:tr>
      <w:tr>
        <w:trPr>
          <w:cantSplit/>
        </w:trPr>
        <w:tc>
          <w:tcPr>
            <w:tcW w:type="dxa" w:w="454"/>
          </w:tcPr>
          <w:p>
            <w:pPr>
              <w:spacing w:before="0" w:after="0" w:line="240" w:lineRule="auto"/>
              <w:jc w:val="center"/>
            </w:pPr>
            <w:r>
              <w:rPr>
                <w:rFonts w:ascii="Times New Roman" w:hAnsi="Times New Roman"/>
                <w:b w:val="0"/>
                <w:i w:val="0"/>
                <w:color w:val="000000"/>
                <w:sz w:val="14"/>
              </w:rPr>
              <w:t>17</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A Multisensor Cross-Modal Attention Framework for Weibull-Driven RUL</w:t>
            </w:r>
          </w:p>
        </w:tc>
        <w:tc>
          <w:tcPr>
            <w:tcW w:type="dxa" w:w="454"/>
          </w:tcPr>
          <w:p>
            <w:pPr>
              <w:spacing w:before="0" w:after="0" w:line="240" w:lineRule="auto"/>
              <w:jc w:val="center"/>
            </w:pPr>
            <w:r>
              <w:rPr>
                <w:rFonts w:ascii="Times New Roman" w:hAnsi="Times New Roman"/>
                <w:b w:val="0"/>
                <w:i w:val="0"/>
                <w:color w:val="000000"/>
                <w:sz w:val="14"/>
              </w:rPr>
              <w:t>B</w:t>
            </w:r>
          </w:p>
        </w:tc>
      </w:tr>
      <w:tr>
        <w:trPr>
          <w:cantSplit/>
        </w:trPr>
        <w:tc>
          <w:tcPr>
            <w:tcW w:type="dxa" w:w="454"/>
          </w:tcPr>
          <w:p>
            <w:pPr>
              <w:spacing w:before="0" w:after="0" w:line="240" w:lineRule="auto"/>
              <w:jc w:val="center"/>
            </w:pPr>
            <w:r>
              <w:rPr>
                <w:rFonts w:ascii="Times New Roman" w:hAnsi="Times New Roman"/>
                <w:b w:val="0"/>
                <w:i w:val="0"/>
                <w:color w:val="000000"/>
                <w:sz w:val="14"/>
              </w:rPr>
              <w:t>19</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Weibull recurrent neural networks for failure prognosis</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9</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Survival-analysis-guided machine learning for failure and RUL prediction</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35</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Domain Adaptive Remaining Useful Life Prediction With Transformer</w:t>
            </w:r>
          </w:p>
        </w:tc>
        <w:tc>
          <w:tcPr>
            <w:tcW w:type="dxa" w:w="454"/>
          </w:tcPr>
          <w:p>
            <w:pPr>
              <w:spacing w:before="0" w:after="0" w:line="240" w:lineRule="auto"/>
              <w:jc w:val="center"/>
            </w:pPr>
            <w:r>
              <w:rPr>
                <w:rFonts w:ascii="Times New Roman" w:hAnsi="Times New Roman"/>
                <w:b w:val="0"/>
                <w:i w:val="0"/>
                <w:color w:val="000000"/>
                <w:sz w:val="14"/>
              </w:rPr>
              <w:t>D</w:t>
            </w:r>
          </w:p>
        </w:tc>
      </w:tr>
    </w:tbl>
    <w:p>
      <w:pPr>
        <w:spacing w:before="0" w:after="0" w:line="240" w:lineRule="auto"/>
      </w:pPr>
    </w:p>
    <w:p>
      <w:pPr>
        <w:spacing w:before="0" w:after="0" w:line="240" w:lineRule="auto"/>
        <w:jc w:val="left"/>
      </w:pPr>
      <w:r>
        <w:rPr>
          <w:rFonts w:ascii="Times New Roman" w:hAnsi="Times New Roman"/>
          <w:b/>
          <w:i w:val="0"/>
          <w:color w:val="000000"/>
          <w:sz w:val="21"/>
        </w:rPr>
        <w:t>4.5 Kualitas studi dan tren publikasi</w:t>
      </w:r>
    </w:p>
    <w:p>
      <w:pPr>
        <w:spacing w:before="0" w:after="0" w:line="240" w:lineRule="auto"/>
        <w:ind w:firstLine="425"/>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val="0"/>
          <w:color w:val="000000"/>
          <w:sz w:val="21"/>
        </w:rPr>
        <w:t>5.1 Sintesis lintas dimensi</w:t>
      </w:r>
    </w:p>
    <w:p>
      <w:pPr>
        <w:spacing w:before="0" w:after="0" w:line="240" w:lineRule="auto"/>
        <w:ind w:firstLine="425"/>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ind w:firstLine="425"/>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val="0"/>
          <w:color w:val="000000"/>
          <w:sz w:val="21"/>
        </w:rPr>
        <w:t>5.2 Research gap</w:t>
      </w:r>
    </w:p>
    <w:p>
      <w:pPr>
        <w:spacing w:before="0" w:after="0" w:line="240" w:lineRule="auto"/>
        <w:ind w:firstLine="425"/>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ind w:firstLine="425"/>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val="0"/>
          <w:color w:val="000000"/>
          <w:sz w:val="21"/>
        </w:rPr>
        <w:t>5.3 Implikasi teoretis dan praktis</w:t>
      </w:r>
    </w:p>
    <w:p>
      <w:pPr>
        <w:spacing w:before="0" w:after="0" w:line="240" w:lineRule="auto"/>
        <w:ind w:firstLine="425"/>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ind w:firstLine="425"/>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ind w:firstLine="425"/>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val="0"/>
          <w:color w:val="000000"/>
          <w:sz w:val="21"/>
        </w:rPr>
        <w:t>5.4 Ancaman terhadap validitas</w:t>
      </w:r>
    </w:p>
    <w:p>
      <w:pPr>
        <w:spacing w:before="0" w:after="0" w:line="240" w:lineRule="auto"/>
        <w:ind w:firstLine="425"/>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ind w:firstLine="425"/>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ind w:firstLine="425"/>
        <w:jc w:val="both"/>
      </w:pPr>
      <w:r>
        <w:rPr>
          <w:rFonts w:ascii="Times New Roman" w:hAnsi="Times New Roman"/>
          <w:b w:val="0"/>
          <w:i w:val="0"/>
          <w:color w:val="000000"/>
          <w:sz w:val="20"/>
        </w:rPr>
        <w:t>Uji sensitivitas terhadap jendela waktu menunjukkan bahwa kesimpulan gap tidak berubah ketika jendela dipersempit.</w:t>
      </w:r>
    </w:p>
    <w:p>
      <w:pPr>
        <w:keepNext/>
        <w:spacing w:before="0" w:after="0" w:line="240" w:lineRule="auto"/>
        <w:jc w:val="center"/>
      </w:pPr>
      <w:r>
        <w:rPr>
          <w:rFonts w:ascii="Times New Roman" w:hAnsi="Times New Roman"/>
          <w:b/>
          <w:i w:val="0"/>
          <w:color w:val="000000"/>
          <w:sz w:val="18"/>
        </w:rPr>
        <w:t xml:space="preserve">Tabel 5. </w:t>
      </w:r>
      <w:r>
        <w:rPr>
          <w:rFonts w:ascii="Times New Roman" w:hAnsi="Times New Roman"/>
          <w:b w:val="0"/>
          <w:i w:val="0"/>
          <w:color w:val="000000"/>
          <w:sz w:val="18"/>
        </w:rPr>
        <w:t>Uji sensitivitas jendela waktu terhadap kesimpulan gap</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896"/>
        <w:gridCol w:w="896"/>
        <w:gridCol w:w="896"/>
        <w:gridCol w:w="896"/>
        <w:gridCol w:w="896"/>
      </w:tblGrid>
      <w:tr>
        <w:trPr>
          <w:cantSplit/>
          <w:tblHeader/>
        </w:trPr>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Jendela</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n</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D3</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D7</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D3 x D7</w:t>
            </w:r>
          </w:p>
        </w:tc>
      </w:tr>
      <w:tr>
        <w:trPr>
          <w:cantSplit/>
        </w:trPr>
        <w:tc>
          <w:tcPr>
            <w:tcW w:type="dxa" w:w="896"/>
          </w:tcPr>
          <w:p>
            <w:pPr>
              <w:spacing w:before="0" w:after="0" w:line="240" w:lineRule="auto"/>
              <w:jc w:val="center"/>
            </w:pPr>
            <w:r>
              <w:rPr>
                <w:rFonts w:ascii="Times New Roman" w:hAnsi="Times New Roman"/>
                <w:b w:val="0"/>
                <w:i w:val="0"/>
                <w:color w:val="000000"/>
                <w:sz w:val="14"/>
              </w:rPr>
              <w:t>2012-2026</w:t>
            </w:r>
          </w:p>
        </w:tc>
        <w:tc>
          <w:tcPr>
            <w:tcW w:type="dxa" w:w="896"/>
          </w:tcPr>
          <w:p>
            <w:pPr>
              <w:spacing w:before="0" w:after="0" w:line="240" w:lineRule="auto"/>
              <w:jc w:val="center"/>
            </w:pPr>
            <w:r>
              <w:rPr>
                <w:rFonts w:ascii="Times New Roman" w:hAnsi="Times New Roman"/>
                <w:b w:val="0"/>
                <w:i w:val="0"/>
                <w:color w:val="000000"/>
                <w:sz w:val="14"/>
              </w:rPr>
              <w:t>79</w:t>
            </w:r>
          </w:p>
        </w:tc>
        <w:tc>
          <w:tcPr>
            <w:tcW w:type="dxa" w:w="896"/>
          </w:tcPr>
          <w:p>
            <w:pPr>
              <w:spacing w:before="0" w:after="0" w:line="240" w:lineRule="auto"/>
              <w:jc w:val="center"/>
            </w:pPr>
            <w:r>
              <w:rPr>
                <w:rFonts w:ascii="Times New Roman" w:hAnsi="Times New Roman"/>
                <w:b w:val="0"/>
                <w:i w:val="0"/>
                <w:color w:val="000000"/>
                <w:sz w:val="14"/>
              </w:rPr>
              <w:t>28</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2015-2026</w:t>
            </w:r>
          </w:p>
        </w:tc>
        <w:tc>
          <w:tcPr>
            <w:tcW w:type="dxa" w:w="896"/>
          </w:tcPr>
          <w:p>
            <w:pPr>
              <w:spacing w:before="0" w:after="0" w:line="240" w:lineRule="auto"/>
              <w:jc w:val="center"/>
            </w:pPr>
            <w:r>
              <w:rPr>
                <w:rFonts w:ascii="Times New Roman" w:hAnsi="Times New Roman"/>
                <w:b w:val="0"/>
                <w:i w:val="0"/>
                <w:color w:val="000000"/>
                <w:sz w:val="14"/>
              </w:rPr>
              <w:t>77</w:t>
            </w:r>
          </w:p>
        </w:tc>
        <w:tc>
          <w:tcPr>
            <w:tcW w:type="dxa" w:w="896"/>
          </w:tcPr>
          <w:p>
            <w:pPr>
              <w:spacing w:before="0" w:after="0" w:line="240" w:lineRule="auto"/>
              <w:jc w:val="center"/>
            </w:pPr>
            <w:r>
              <w:rPr>
                <w:rFonts w:ascii="Times New Roman" w:hAnsi="Times New Roman"/>
                <w:b w:val="0"/>
                <w:i w:val="0"/>
                <w:color w:val="000000"/>
                <w:sz w:val="14"/>
              </w:rPr>
              <w:t>26</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2018-2026</w:t>
            </w:r>
          </w:p>
        </w:tc>
        <w:tc>
          <w:tcPr>
            <w:tcW w:type="dxa" w:w="896"/>
          </w:tcPr>
          <w:p>
            <w:pPr>
              <w:spacing w:before="0" w:after="0" w:line="240" w:lineRule="auto"/>
              <w:jc w:val="center"/>
            </w:pPr>
            <w:r>
              <w:rPr>
                <w:rFonts w:ascii="Times New Roman" w:hAnsi="Times New Roman"/>
                <w:b w:val="0"/>
                <w:i w:val="0"/>
                <w:color w:val="000000"/>
                <w:sz w:val="14"/>
              </w:rPr>
              <w:t>74</w:t>
            </w:r>
          </w:p>
        </w:tc>
        <w:tc>
          <w:tcPr>
            <w:tcW w:type="dxa" w:w="896"/>
          </w:tcPr>
          <w:p>
            <w:pPr>
              <w:spacing w:before="0" w:after="0" w:line="240" w:lineRule="auto"/>
              <w:jc w:val="center"/>
            </w:pPr>
            <w:r>
              <w:rPr>
                <w:rFonts w:ascii="Times New Roman" w:hAnsi="Times New Roman"/>
                <w:b w:val="0"/>
                <w:i w:val="0"/>
                <w:color w:val="000000"/>
                <w:sz w:val="14"/>
              </w:rPr>
              <w:t>23</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2019-2026</w:t>
            </w:r>
          </w:p>
        </w:tc>
        <w:tc>
          <w:tcPr>
            <w:tcW w:type="dxa" w:w="896"/>
          </w:tcPr>
          <w:p>
            <w:pPr>
              <w:spacing w:before="0" w:after="0" w:line="240" w:lineRule="auto"/>
              <w:jc w:val="center"/>
            </w:pPr>
            <w:r>
              <w:rPr>
                <w:rFonts w:ascii="Times New Roman" w:hAnsi="Times New Roman"/>
                <w:b w:val="0"/>
                <w:i w:val="0"/>
                <w:color w:val="000000"/>
                <w:sz w:val="14"/>
              </w:rPr>
              <w:t>71</w:t>
            </w:r>
          </w:p>
        </w:tc>
        <w:tc>
          <w:tcPr>
            <w:tcW w:type="dxa" w:w="896"/>
          </w:tcPr>
          <w:p>
            <w:pPr>
              <w:spacing w:before="0" w:after="0" w:line="240" w:lineRule="auto"/>
              <w:jc w:val="center"/>
            </w:pPr>
            <w:r>
              <w:rPr>
                <w:rFonts w:ascii="Times New Roman" w:hAnsi="Times New Roman"/>
                <w:b w:val="0"/>
                <w:i w:val="0"/>
                <w:color w:val="000000"/>
                <w:sz w:val="14"/>
              </w:rPr>
              <w:t>22</w:t>
            </w:r>
          </w:p>
        </w:tc>
        <w:tc>
          <w:tcPr>
            <w:tcW w:type="dxa" w:w="896"/>
          </w:tcPr>
          <w:p>
            <w:pPr>
              <w:spacing w:before="0" w:after="0" w:line="240" w:lineRule="auto"/>
              <w:jc w:val="center"/>
            </w:pPr>
            <w:r>
              <w:rPr>
                <w:rFonts w:ascii="Times New Roman" w:hAnsi="Times New Roman"/>
                <w:b w:val="0"/>
                <w:i w:val="0"/>
                <w:color w:val="000000"/>
                <w:sz w:val="14"/>
              </w:rPr>
              <w:t>1</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2020-2026</w:t>
            </w:r>
          </w:p>
        </w:tc>
        <w:tc>
          <w:tcPr>
            <w:tcW w:type="dxa" w:w="896"/>
          </w:tcPr>
          <w:p>
            <w:pPr>
              <w:spacing w:before="0" w:after="0" w:line="240" w:lineRule="auto"/>
              <w:jc w:val="center"/>
            </w:pPr>
            <w:r>
              <w:rPr>
                <w:rFonts w:ascii="Times New Roman" w:hAnsi="Times New Roman"/>
                <w:b w:val="0"/>
                <w:i w:val="0"/>
                <w:color w:val="000000"/>
                <w:sz w:val="14"/>
              </w:rPr>
              <w:t>66</w:t>
            </w:r>
          </w:p>
        </w:tc>
        <w:tc>
          <w:tcPr>
            <w:tcW w:type="dxa" w:w="896"/>
          </w:tcPr>
          <w:p>
            <w:pPr>
              <w:spacing w:before="0" w:after="0" w:line="240" w:lineRule="auto"/>
              <w:jc w:val="center"/>
            </w:pPr>
            <w:r>
              <w:rPr>
                <w:rFonts w:ascii="Times New Roman" w:hAnsi="Times New Roman"/>
                <w:b w:val="0"/>
                <w:i w:val="0"/>
                <w:color w:val="000000"/>
                <w:sz w:val="14"/>
              </w:rPr>
              <w:t>20</w:t>
            </w:r>
          </w:p>
        </w:tc>
        <w:tc>
          <w:tcPr>
            <w:tcW w:type="dxa" w:w="896"/>
          </w:tcPr>
          <w:p>
            <w:pPr>
              <w:spacing w:before="0" w:after="0" w:line="240" w:lineRule="auto"/>
              <w:jc w:val="center"/>
            </w:pPr>
            <w:r>
              <w:rPr>
                <w:rFonts w:ascii="Times New Roman" w:hAnsi="Times New Roman"/>
                <w:b w:val="0"/>
                <w:i w:val="0"/>
                <w:color w:val="000000"/>
                <w:sz w:val="14"/>
              </w:rPr>
              <w:t>1</w:t>
            </w:r>
          </w:p>
        </w:tc>
        <w:tc>
          <w:tcPr>
            <w:tcW w:type="dxa" w:w="896"/>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ind w:firstLine="425"/>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ind w:firstLine="425"/>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ind w:firstLine="425"/>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ind w:firstLine="425"/>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ind w:firstLine="425"/>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ind w:firstLine="425"/>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ind w:firstLine="425"/>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ind w:firstLine="425"/>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ind w:firstLine="425"/>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ind w:firstLine="425"/>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ind w:firstLine="425"/>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ind w:firstLine="425"/>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ind w:firstLine="425"/>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ind w:firstLine="425"/>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ind w:firstLine="425"/>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ind w:firstLine="425"/>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ind w:firstLine="425"/>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ind w:firstLine="425"/>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ind w:firstLine="425"/>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ind w:firstLine="425"/>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ind w:firstLine="425"/>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ind w:firstLine="425"/>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ind w:firstLine="425"/>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ind w:firstLine="425"/>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ind w:firstLine="425"/>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ind w:firstLine="425"/>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ind w:firstLine="425"/>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ind w:firstLine="425"/>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