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rFonts w:ascii="Times New Roman" w:hAnsi="Times New Roman"/>
          <w:b/>
          <w:color w:val="000000"/>
          <w:sz w:val="24"/>
        </w:rPr>
        <w:t>Systematic Literature Review (SLR): Prediksi Remaining Useful Life (RUL) Berbasis Survival Analysis dan Deep Learning untuk Membran Reverse Osmosis</w:t>
      </w:r>
    </w:p>
    <w:p/>
    <w:p>
      <w:pPr>
        <w:spacing w:line="360" w:lineRule="auto" w:before="0" w:after="0"/>
        <w:jc w:val="both"/>
      </w:pPr>
      <w:r>
        <w:rPr>
          <w:rFonts w:ascii="Times New Roman" w:hAnsi="Times New Roman"/>
          <w:b w:val="0"/>
          <w:color w:val="000000"/>
          <w:sz w:val="24"/>
        </w:rPr>
        <w:t>Abstrak</w:t>
      </w:r>
    </w:p>
    <w:p/>
    <w:p>
      <w:pPr>
        <w:spacing w:line="360" w:lineRule="auto" w:before="0" w:after="0"/>
        <w:jc w:val="both"/>
      </w:pPr>
      <w:r>
        <w:rPr>
          <w:rFonts w:ascii="Times New Roman" w:hAnsi="Times New Roman"/>
          <w:b w:val="0"/>
          <w:color w:val="000000"/>
          <w:sz w:val="24"/>
        </w:rPr>
        <w:t>Tinjauan literatur sistematis ini memetakan metode prediksi sisa usia pakai (Remaining Useful Life, RUL) berbasis survival analysis dan deep learning, dengan perhatian khusus pada penanganan data tersensor (right-censored) dan keterbatasan data (small-data), serta penerapannya pada domain membran reverse osmosis (RO) dan desalinasi. Kajian ini dijalankan mengikuti panduan Kitchenham &amp; Charters (2007), pelaporan PRISMA 2020 (Page dkk., 2021), dan sintesis concept-centric Webster &amp; Watson (2002). Pencarian hybrid (basis data + snowballing Wohlin, 2014) pada repositori terindeks menghasilkan korpus inti puluhan artikel internasional. Hasil menunjukkan bahwa penanganan censoring dan kuantifikasi ketidakpastian masih jarang diterapkan pada domain membran, dan belum ada studi yang secara simultan menggabungkan RUL membran RO, data tanpa kegagalan, skala data kecil, serta integrasi ke sistem pendukung keputusan perawatan. Celah inilah yang menjadi dasar penelitian tesis.</w:t>
      </w:r>
    </w:p>
    <w:p/>
    <w:p>
      <w:pPr>
        <w:spacing w:line="360" w:lineRule="auto" w:before="0" w:after="0"/>
        <w:jc w:val="both"/>
      </w:pPr>
      <w:r>
        <w:rPr>
          <w:rFonts w:ascii="Times New Roman" w:hAnsi="Times New Roman"/>
          <w:b w:val="0"/>
          <w:color w:val="000000"/>
          <w:sz w:val="24"/>
        </w:rPr>
        <w:t>1. Pendahuluan</w:t>
      </w:r>
    </w:p>
    <w:p/>
    <w:p>
      <w:pPr>
        <w:spacing w:line="360" w:lineRule="auto" w:before="0" w:after="0"/>
        <w:jc w:val="both"/>
      </w:pPr>
      <w:r>
        <w:rPr>
          <w:rFonts w:ascii="Times New Roman" w:hAnsi="Times New Roman"/>
          <w:b w:val="0"/>
          <w:color w:val="000000"/>
          <w:sz w:val="24"/>
        </w:rPr>
        <w:t>1.1 Motivasi dan urgensi ilmiah</w:t>
      </w:r>
    </w:p>
    <w:p/>
    <w:p>
      <w:pPr>
        <w:spacing w:line="360" w:lineRule="auto" w:before="0" w:after="0"/>
        <w:jc w:val="both"/>
      </w:pPr>
      <w:r>
        <w:rPr>
          <w:rFonts w:ascii="Times New Roman" w:hAnsi="Times New Roman"/>
          <w:b w:val="0"/>
          <w:color w:val="000000"/>
          <w:sz w:val="24"/>
        </w:rPr>
        <w:t>Membran reverse osmosis (RO) merupakan komponen inti pada instalasi desalinasi air payau maupun air laut. Kinerjanya menurun seiring waktu karena fouling, scaling, dan degradasi kimia, sehingga memerlukan perawatan berkala (Clean-in-Place, CIP) atau penggantian. Karena perawatan selalu dilakukan secara preventif, sebelum kerusakan fisik total, log pemantauan lapangan didominasi data tersensor kanan (right-censored data): pengamatan berhenti tanpa pernah merekam waktu kegagalan yang sebenarnya. Metode prediksi RUL konvensional yang hanya belajar dari data run-to-failure membuang data tersensor ini, sehingga prediksinya bias (Gao dkk., 2025).</w:t>
      </w:r>
    </w:p>
    <w:p/>
    <w:p>
      <w:pPr>
        <w:spacing w:line="360" w:lineRule="auto" w:before="0" w:after="0"/>
        <w:jc w:val="both"/>
      </w:pPr>
      <w:r>
        <w:rPr>
          <w:rFonts w:ascii="Times New Roman" w:hAnsi="Times New Roman"/>
          <w:b w:val="0"/>
          <w:color w:val="000000"/>
          <w:sz w:val="24"/>
        </w:rPr>
        <w:t>Urgensi SLR ini muncul dari tiga tegangan: (1) metode survival analysis dan deep learning sudah mapan untuk mesin berarmada besar (turbin, bearing, baterai), tetapi belum banyak dipakai untuk membran RO; (2) di lapangan, data membran justru kecil dan tanpa kegagalan teramati, kondisi yang belum banyak diuji; dan (3) manfaat prediksi bagi keputusan perawatan (Sistem Pendukung Keputusan) belum menjadi fokus. SLR ini memetakan bukti untuk memastikan bahwa celah tersebut nyata dan layak diteliti.</w:t>
      </w:r>
    </w:p>
    <w:p/>
    <w:p>
      <w:pPr>
        <w:spacing w:line="360" w:lineRule="auto" w:before="0" w:after="0"/>
        <w:jc w:val="both"/>
      </w:pPr>
      <w:r>
        <w:rPr>
          <w:rFonts w:ascii="Times New Roman" w:hAnsi="Times New Roman"/>
          <w:b w:val="0"/>
          <w:color w:val="000000"/>
          <w:sz w:val="24"/>
        </w:rPr>
        <w:t>1.2 Kontribusi SLR</w:t>
      </w:r>
    </w:p>
    <w:p/>
    <w:p>
      <w:pPr>
        <w:spacing w:line="360" w:lineRule="auto" w:before="0" w:after="0"/>
        <w:jc w:val="both"/>
      </w:pPr>
      <w:r>
        <w:rPr>
          <w:rFonts w:ascii="Times New Roman" w:hAnsi="Times New Roman"/>
          <w:b w:val="0"/>
          <w:color w:val="000000"/>
          <w:sz w:val="24"/>
        </w:rPr>
        <w:t>SLR ini menyediakan (a) peta taksonomi metode prediksi RUL dengan fokus censoring dan data kecil; (b) matriks konsep yang menunjukkan sebaran dimensi riset; dan (c) perumusan research gap yang menjadi dasar tesis.</w:t>
      </w:r>
    </w:p>
    <w:p/>
    <w:p>
      <w:pPr>
        <w:spacing w:line="360" w:lineRule="auto" w:before="0" w:after="0"/>
        <w:jc w:val="both"/>
      </w:pPr>
      <w:r>
        <w:rPr>
          <w:rFonts w:ascii="Times New Roman" w:hAnsi="Times New Roman"/>
          <w:b w:val="0"/>
          <w:color w:val="000000"/>
          <w:sz w:val="24"/>
        </w:rPr>
        <w:t>2. Metode Tinjauan</w:t>
      </w:r>
    </w:p>
    <w:p/>
    <w:p>
      <w:pPr>
        <w:spacing w:line="360" w:lineRule="auto" w:before="0" w:after="0"/>
        <w:jc w:val="both"/>
      </w:pPr>
      <w:r>
        <w:rPr>
          <w:rFonts w:ascii="Times New Roman" w:hAnsi="Times New Roman"/>
          <w:b w:val="0"/>
          <w:color w:val="000000"/>
          <w:sz w:val="24"/>
        </w:rPr>
        <w:t>2.1 Pertanyaan Riset</w:t>
      </w:r>
    </w:p>
    <w:p/>
    <w:p>
      <w:pPr>
        <w:spacing w:line="360" w:lineRule="auto" w:before="0" w:after="0"/>
        <w:jc w:val="both"/>
      </w:pPr>
      <w:r>
        <w:rPr>
          <w:rFonts w:ascii="Times New Roman" w:hAnsi="Times New Roman"/>
          <w:b w:val="0"/>
          <w:color w:val="000000"/>
          <w:sz w:val="24"/>
        </w:rPr>
        <w:t>- RQ1: Bagaimana metode survival analysis menangani data tersensor pada prediksi RUL?</w:t>
      </w:r>
    </w:p>
    <w:p/>
    <w:p>
      <w:pPr>
        <w:spacing w:line="360" w:lineRule="auto" w:before="0" w:after="0"/>
        <w:jc w:val="both"/>
      </w:pPr>
      <w:r>
        <w:rPr>
          <w:rFonts w:ascii="Times New Roman" w:hAnsi="Times New Roman"/>
          <w:b w:val="0"/>
          <w:color w:val="000000"/>
          <w:sz w:val="24"/>
        </w:rPr>
        <w:t>- RQ2: Bagaimana deep learning (LSTM/Transformer/Bayesian) meningkatkan prediksi RUL dan kuantifikasi ketidakpastian?</w:t>
      </w:r>
    </w:p>
    <w:p/>
    <w:p>
      <w:pPr>
        <w:spacing w:line="360" w:lineRule="auto" w:before="0" w:after="0"/>
        <w:jc w:val="both"/>
      </w:pPr>
      <w:r>
        <w:rPr>
          <w:rFonts w:ascii="Times New Roman" w:hAnsi="Times New Roman"/>
          <w:b w:val="0"/>
          <w:color w:val="000000"/>
          <w:sz w:val="24"/>
        </w:rPr>
        <w:t>- RQ3: Kendala apa yang muncul pada kondisi data kecil (small-data) / tanpa kegagalan (all-censored), dan bagaimana solusinya?</w:t>
      </w:r>
    </w:p>
    <w:p/>
    <w:p>
      <w:pPr>
        <w:spacing w:line="360" w:lineRule="auto" w:before="0" w:after="0"/>
        <w:jc w:val="both"/>
      </w:pPr>
      <w:r>
        <w:rPr>
          <w:rFonts w:ascii="Times New Roman" w:hAnsi="Times New Roman"/>
          <w:b w:val="0"/>
          <w:color w:val="000000"/>
          <w:sz w:val="24"/>
        </w:rPr>
        <w:t>- RQ4: Bagaimana hasil prediksi RUL digunakan dalam sistem pendukung keputusan perawatan (DSS/CMMS)?</w:t>
      </w:r>
    </w:p>
    <w:p/>
    <w:p>
      <w:pPr>
        <w:spacing w:line="360" w:lineRule="auto" w:before="0" w:after="0"/>
        <w:jc w:val="both"/>
      </w:pPr>
      <w:r>
        <w:rPr>
          <w:rFonts w:ascii="Times New Roman" w:hAnsi="Times New Roman"/>
          <w:b w:val="0"/>
          <w:color w:val="000000"/>
          <w:sz w:val="24"/>
        </w:rPr>
        <w:t>2.2 Strategi Pencarian</w:t>
      </w:r>
    </w:p>
    <w:p/>
    <w:p>
      <w:pPr>
        <w:spacing w:line="360" w:lineRule="auto" w:before="0" w:after="0"/>
        <w:jc w:val="both"/>
      </w:pPr>
      <w:r>
        <w:rPr>
          <w:rFonts w:ascii="Times New Roman" w:hAnsi="Times New Roman"/>
          <w:b w:val="0"/>
          <w:color w:val="000000"/>
          <w:sz w:val="24"/>
        </w:rPr>
        <w:t>Pencarian hybrid memadukan pencarian basis data dan snowballing (Wohlin, 2014). Basis data utama: Scopus, IEEE Xplore, ScienceDirect, ACM Digital Library, AIS eLibrary, dan Web of Science; pelengkap nasional: Garuda dan SINTA. Pencarian awal dilakukan pada repositori terbuka (OpenAlex/Crossref) memakai kombinasi kata kunci berikut (contoh, gaya Scopus):</w:t>
      </w:r>
    </w:p>
    <w:p/>
    <w:p>
      <w:pPr>
        <w:spacing w:line="360" w:lineRule="auto" w:before="0" w:after="0"/>
        <w:jc w:val="both"/>
      </w:pPr>
      <w:r>
        <w:rPr>
          <w:rFonts w:ascii="Times New Roman" w:hAnsi="Times New Roman"/>
          <w:b w:val="0"/>
          <w:color w:val="000000"/>
          <w:sz w:val="24"/>
        </w:rPr>
      </w:r>
    </w:p>
    <w:p/>
    <w:p>
      <w:pPr>
        <w:spacing w:line="360" w:lineRule="auto" w:before="0" w:after="0"/>
        <w:jc w:val="both"/>
      </w:pPr>
      <w:r>
        <w:rPr>
          <w:rFonts w:ascii="Times New Roman" w:hAnsi="Times New Roman"/>
          <w:b w:val="0"/>
          <w:color w:val="000000"/>
          <w:sz w:val="24"/>
        </w:rPr>
        <w:t>TITLE-ABS-KEY(</w:t>
      </w:r>
    </w:p>
    <w:p/>
    <w:p>
      <w:pPr>
        <w:spacing w:line="360" w:lineRule="auto" w:before="0" w:after="0"/>
        <w:jc w:val="both"/>
      </w:pPr>
      <w:r>
        <w:rPr>
          <w:rFonts w:ascii="Times New Roman" w:hAnsi="Times New Roman"/>
          <w:b w:val="0"/>
          <w:color w:val="000000"/>
          <w:sz w:val="24"/>
        </w:rPr>
        <w:t xml:space="preserve">  ("remaining useful life" OR RUL OR prognos OR "predictive maintenance" OR "failure prediction")</w:t>
      </w:r>
    </w:p>
    <w:p/>
    <w:p>
      <w:pPr>
        <w:spacing w:line="360" w:lineRule="auto" w:before="0" w:after="0"/>
        <w:jc w:val="both"/>
      </w:pPr>
      <w:r>
        <w:rPr>
          <w:rFonts w:ascii="Times New Roman" w:hAnsi="Times New Roman"/>
          <w:b w:val="0"/>
          <w:color w:val="000000"/>
          <w:sz w:val="24"/>
        </w:rPr>
        <w:t xml:space="preserve">  AND (censored OR censoring OR "survival analysis" OR Weibull OR "time-to-event")</w:t>
      </w:r>
    </w:p>
    <w:p/>
    <w:p>
      <w:pPr>
        <w:spacing w:line="360" w:lineRule="auto" w:before="0" w:after="0"/>
        <w:jc w:val="both"/>
      </w:pPr>
      <w:r>
        <w:rPr>
          <w:rFonts w:ascii="Times New Roman" w:hAnsi="Times New Roman"/>
          <w:b w:val="0"/>
          <w:color w:val="000000"/>
          <w:sz w:val="24"/>
        </w:rPr>
        <w:t xml:space="preserve">  AND ("deep learning" OR LSTM OR transformer OR "neural network" OR Bayesian)</w:t>
      </w:r>
    </w:p>
    <w:p/>
    <w:p>
      <w:pPr>
        <w:spacing w:line="360" w:lineRule="auto" w:before="0" w:after="0"/>
        <w:jc w:val="both"/>
      </w:pPr>
      <w:r>
        <w:rPr>
          <w:rFonts w:ascii="Times New Roman" w:hAnsi="Times New Roman"/>
          <w:b w:val="0"/>
          <w:color w:val="000000"/>
          <w:sz w:val="24"/>
        </w:rPr>
        <w:t>)</w:t>
      </w:r>
    </w:p>
    <w:p/>
    <w:p>
      <w:pPr>
        <w:spacing w:line="360" w:lineRule="auto" w:before="0" w:after="0"/>
        <w:jc w:val="both"/>
      </w:pPr>
      <w:r>
        <w:rPr>
          <w:rFonts w:ascii="Times New Roman" w:hAnsi="Times New Roman"/>
          <w:b w:val="0"/>
          <w:color w:val="000000"/>
          <w:sz w:val="24"/>
        </w:rPr>
        <w:t>TITLE-ABS-KEY(</w:t>
      </w:r>
    </w:p>
    <w:p/>
    <w:p>
      <w:pPr>
        <w:spacing w:line="360" w:lineRule="auto" w:before="0" w:after="0"/>
        <w:jc w:val="both"/>
      </w:pPr>
      <w:r>
        <w:rPr>
          <w:rFonts w:ascii="Times New Roman" w:hAnsi="Times New Roman"/>
          <w:b w:val="0"/>
          <w:color w:val="000000"/>
          <w:sz w:val="24"/>
        </w:rPr>
        <w:t xml:space="preserve">  ("reverse osmosis" OR membrane OR desalination OR "water treatment")</w:t>
      </w:r>
    </w:p>
    <w:p/>
    <w:p>
      <w:pPr>
        <w:spacing w:line="360" w:lineRule="auto" w:before="0" w:after="0"/>
        <w:jc w:val="both"/>
      </w:pPr>
      <w:r>
        <w:rPr>
          <w:rFonts w:ascii="Times New Roman" w:hAnsi="Times New Roman"/>
          <w:b w:val="0"/>
          <w:color w:val="000000"/>
          <w:sz w:val="24"/>
        </w:rPr>
        <w:t xml:space="preserve">  AND ("remaining useful life" OR RUL OR fouling OR "predictive maintenance" OR "health index")</w:t>
      </w:r>
    </w:p>
    <w:p/>
    <w:p>
      <w:pPr>
        <w:spacing w:line="360" w:lineRule="auto" w:before="0" w:after="0"/>
        <w:jc w:val="both"/>
      </w:pPr>
      <w:r>
        <w:rPr>
          <w:rFonts w:ascii="Times New Roman" w:hAnsi="Times New Roman"/>
          <w:b w:val="0"/>
          <w:color w:val="000000"/>
          <w:sz w:val="24"/>
        </w:rPr>
        <w:t>)</w:t>
      </w:r>
    </w:p>
    <w:p/>
    <w:p>
      <w:pPr>
        <w:spacing w:line="360" w:lineRule="auto" w:before="0" w:after="0"/>
        <w:jc w:val="both"/>
      </w:pPr>
      <w:r>
        <w:rPr>
          <w:rFonts w:ascii="Times New Roman" w:hAnsi="Times New Roman"/>
          <w:b w:val="0"/>
          <w:color w:val="000000"/>
          <w:sz w:val="24"/>
        </w:rPr>
      </w:r>
    </w:p>
    <w:p/>
    <w:p>
      <w:pPr>
        <w:spacing w:line="360" w:lineRule="auto" w:before="0" w:after="0"/>
        <w:jc w:val="both"/>
      </w:pPr>
      <w:r>
        <w:rPr>
          <w:rFonts w:ascii="Times New Roman" w:hAnsi="Times New Roman"/>
          <w:b w:val="0"/>
          <w:color w:val="000000"/>
          <w:sz w:val="24"/>
        </w:rPr>
        <w:t>Snowballing (backward dan forward) diterapkan dari artikel kunci untuk menambah cakupan. Batas: artikel jurnal (article), berbahasa Inggris, terbit 2015–2026 (karya landamark pra-2015 dapat masuk melalui snowballing).</w:t>
      </w:r>
    </w:p>
    <w:p/>
    <w:p>
      <w:pPr>
        <w:spacing w:line="360" w:lineRule="auto" w:before="0" w:after="0"/>
        <w:jc w:val="both"/>
      </w:pPr>
      <w:r>
        <w:rPr>
          <w:rFonts w:ascii="Times New Roman" w:hAnsi="Times New Roman"/>
          <w:b w:val="0"/>
          <w:color w:val="000000"/>
          <w:sz w:val="24"/>
        </w:rPr>
        <w:t>2.3 Kriteria Inklusi dan Eksklusi</w:t>
      </w:r>
    </w:p>
    <w:p/>
    <w:p>
      <w:pPr>
        <w:spacing w:line="360" w:lineRule="auto" w:before="0" w:after="0"/>
        <w:jc w:val="both"/>
      </w:pPr>
      <w:r>
        <w:rPr>
          <w:rFonts w:ascii="Times New Roman" w:hAnsi="Times New Roman"/>
          <w:b w:val="0"/>
          <w:color w:val="000000"/>
          <w:sz w:val="24"/>
        </w:rPr>
        <w:t>Inklusi: studi peer-review yang membahas RUL/prognostics/survival analysis atau predictive maintenance membran/air; mendefinisikan target RUL/kegagalan; atau berkontribusi pada metode sadar-censoring, deep learning RUL, ketidakpastian, atau skala data. Eksklusi: studi medis/klinis (membran biologis), makalah tanpa abstrak, dan studi tanpa relevansi metodologis.</w:t>
      </w:r>
    </w:p>
    <w:p/>
    <w:p>
      <w:pPr>
        <w:spacing w:line="360" w:lineRule="auto" w:before="0" w:after="0"/>
        <w:jc w:val="both"/>
      </w:pPr>
      <w:r>
        <w:rPr>
          <w:rFonts w:ascii="Times New Roman" w:hAnsi="Times New Roman"/>
          <w:b w:val="0"/>
          <w:color w:val="000000"/>
          <w:sz w:val="24"/>
        </w:rPr>
        <w:t>2.4 Penyaringan dan PRISMA 2020</w:t>
      </w:r>
    </w:p>
    <w:p/>
    <w:p>
      <w:pPr>
        <w:spacing w:line="360" w:lineRule="auto" w:before="0" w:after="0"/>
        <w:jc w:val="both"/>
      </w:pPr>
      <w:r>
        <w:rPr>
          <w:rFonts w:ascii="Times New Roman" w:hAnsi="Times New Roman"/>
          <w:b w:val="0"/>
          <w:color w:val="000000"/>
          <w:sz w:val="24"/>
        </w:rPr>
        <w:t>Proses mengikuti alur PRISMA 2020 (identifikasi → penyaringan → kelayakan → disertakan). Angka lengkap disajikan pada Bagian 3.1.</w:t>
      </w:r>
    </w:p>
    <w:p/>
    <w:p>
      <w:pPr>
        <w:spacing w:line="360" w:lineRule="auto" w:before="0" w:after="0"/>
        <w:jc w:val="both"/>
      </w:pPr>
      <w:r>
        <w:rPr>
          <w:rFonts w:ascii="Times New Roman" w:hAnsi="Times New Roman"/>
          <w:b w:val="0"/>
          <w:color w:val="000000"/>
          <w:sz w:val="24"/>
        </w:rPr>
        <w:t>2.5 Penilaian Kualitas</w:t>
      </w:r>
    </w:p>
    <w:p/>
    <w:p>
      <w:pPr>
        <w:spacing w:line="360" w:lineRule="auto" w:before="0" w:after="0"/>
        <w:jc w:val="both"/>
      </w:pPr>
      <w:r>
        <w:rPr>
          <w:rFonts w:ascii="Times New Roman" w:hAnsi="Times New Roman"/>
          <w:b w:val="0"/>
          <w:color w:val="000000"/>
          <w:sz w:val="24"/>
        </w:rPr>
        <w:t>Setiap studi dinilai dengan checklist 10 butir (kejelasan RQ, validitas data, reproduksibilitas metode, kecukupan evaluasi, penanganan censoring, pelaporan ketidakpastian, keterkaitan keputusan, dll.), skala Ya/Sebagian/Tidak.</w:t>
      </w:r>
    </w:p>
    <w:p/>
    <w:p>
      <w:pPr>
        <w:spacing w:line="360" w:lineRule="auto" w:before="0" w:after="0"/>
        <w:jc w:val="both"/>
      </w:pPr>
      <w:r>
        <w:rPr>
          <w:rFonts w:ascii="Times New Roman" w:hAnsi="Times New Roman"/>
          <w:b w:val="0"/>
          <w:color w:val="000000"/>
          <w:sz w:val="24"/>
        </w:rPr>
        <w:t>2.6 Ekstraksi Data dan Sintesis</w:t>
      </w:r>
    </w:p>
    <w:p/>
    <w:p>
      <w:pPr>
        <w:spacing w:line="360" w:lineRule="auto" w:before="0" w:after="0"/>
        <w:jc w:val="both"/>
      </w:pPr>
      <w:r>
        <w:rPr>
          <w:rFonts w:ascii="Times New Roman" w:hAnsi="Times New Roman"/>
          <w:b w:val="0"/>
          <w:color w:val="000000"/>
          <w:sz w:val="24"/>
        </w:rPr>
        <w:t>Ekstraksi mengikuti form: No, Pilar/Tema, Judul, Penulis, Tahun, Jurnal, Klasifikasi, Link/DOI, Ringkasan Temuan, Kontribusi terhadap Research Gap. Sintesis dilakukan secara concept-centric memakai matriks konsep Webster &amp; Watson (2002) dengan tujuh pilar (A–G) dan delapan dimensi konsep (D1–D8).</w:t>
      </w:r>
    </w:p>
    <w:p/>
    <w:p>
      <w:pPr>
        <w:spacing w:line="360" w:lineRule="auto" w:before="0" w:after="0"/>
        <w:jc w:val="both"/>
      </w:pPr>
      <w:r>
        <w:rPr>
          <w:rFonts w:ascii="Times New Roman" w:hAnsi="Times New Roman"/>
          <w:b w:val="0"/>
          <w:color w:val="000000"/>
          <w:sz w:val="24"/>
        </w:rPr>
        <w:t>3. Hasil</w:t>
      </w:r>
    </w:p>
    <w:p/>
    <w:p>
      <w:pPr>
        <w:spacing w:line="360" w:lineRule="auto" w:before="0" w:after="0"/>
        <w:jc w:val="both"/>
      </w:pPr>
      <w:r>
        <w:rPr>
          <w:rFonts w:ascii="Times New Roman" w:hAnsi="Times New Roman"/>
          <w:b w:val="0"/>
          <w:color w:val="000000"/>
          <w:sz w:val="24"/>
        </w:rPr>
        <w:t>3.1 Alur PRISMA</w:t>
      </w:r>
    </w:p>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Pr>
                <w:rFonts w:ascii="Times New Roman" w:hAnsi="Times New Roman"/>
                <w:color w:val="000000"/>
                <w:sz w:val="22"/>
              </w:rPr>
              <w:t>Tahap</w:t>
            </w:r>
          </w:p>
        </w:tc>
        <w:tc>
          <w:tcPr>
            <w:tcW w:type="dxa" w:w="2757"/>
          </w:tcPr>
          <w:p>
            <w:r>
              <w:rPr>
                <w:rFonts w:ascii="Times New Roman" w:hAnsi="Times New Roman"/>
                <w:color w:val="000000"/>
                <w:sz w:val="22"/>
              </w:rPr>
              <w:t>Jumlah</w:t>
            </w:r>
          </w:p>
        </w:tc>
        <w:tc>
          <w:tcPr>
            <w:tcW w:type="dxa" w:w="2757"/>
          </w:tcPr>
          <w:p>
            <w:r>
              <w:rPr>
                <w:rFonts w:ascii="Times New Roman" w:hAnsi="Times New Roman"/>
                <w:color w:val="000000"/>
                <w:sz w:val="22"/>
              </w:rPr>
              <w:t>Keterangan</w:t>
            </w:r>
          </w:p>
        </w:tc>
      </w:tr>
      <w:tr>
        <w:tc>
          <w:tcPr>
            <w:tcW w:type="dxa" w:w="2757"/>
          </w:tcPr>
          <w:p>
            <w:r>
              <w:rPr>
                <w:rFonts w:ascii="Times New Roman" w:hAnsi="Times New Roman"/>
                <w:color w:val="000000"/>
                <w:sz w:val="22"/>
              </w:rPr>
              <w:t>Identifikasi (record unik)</w:t>
            </w:r>
          </w:p>
        </w:tc>
        <w:tc>
          <w:tcPr>
            <w:tcW w:type="dxa" w:w="2757"/>
          </w:tcPr>
          <w:p>
            <w:r>
              <w:rPr>
                <w:rFonts w:ascii="Times New Roman" w:hAnsi="Times New Roman"/>
                <w:color w:val="000000"/>
                <w:sz w:val="22"/>
              </w:rPr>
              <w:t>694</w:t>
            </w:r>
          </w:p>
        </w:tc>
        <w:tc>
          <w:tcPr>
            <w:tcW w:type="dxa" w:w="2757"/>
          </w:tcPr>
          <w:p>
            <w:r>
              <w:rPr>
                <w:rFonts w:ascii="Times New Roman" w:hAnsi="Times New Roman"/>
                <w:color w:val="000000"/>
                <w:sz w:val="22"/>
              </w:rPr>
              <w:t>Pencarian OpenAlex/Crossref, 24 query</w:t>
            </w:r>
          </w:p>
        </w:tc>
      </w:tr>
      <w:tr>
        <w:tc>
          <w:tcPr>
            <w:tcW w:type="dxa" w:w="2757"/>
          </w:tcPr>
          <w:p>
            <w:r>
              <w:rPr>
                <w:rFonts w:ascii="Times New Roman" w:hAnsi="Times New Roman"/>
                <w:color w:val="000000"/>
                <w:sz w:val="22"/>
              </w:rPr>
              <w:t>Disaring (judul/abstrak)</w:t>
            </w:r>
          </w:p>
        </w:tc>
        <w:tc>
          <w:tcPr>
            <w:tcW w:type="dxa" w:w="2757"/>
          </w:tcPr>
          <w:p>
            <w:r>
              <w:rPr>
                <w:rFonts w:ascii="Times New Roman" w:hAnsi="Times New Roman"/>
                <w:color w:val="000000"/>
                <w:sz w:val="22"/>
              </w:rPr>
              <w:t>485</w:t>
            </w:r>
          </w:p>
        </w:tc>
        <w:tc>
          <w:tcPr>
            <w:tcW w:type="dxa" w:w="2757"/>
          </w:tcPr>
          <w:p>
            <w:r>
              <w:rPr>
                <w:rFonts w:ascii="Times New Roman" w:hAnsi="Times New Roman"/>
                <w:color w:val="000000"/>
                <w:sz w:val="22"/>
              </w:rPr>
              <w:t>Kriteria relevansi keyword + abstrak tersedia</w:t>
            </w:r>
          </w:p>
        </w:tc>
      </w:tr>
      <w:tr>
        <w:tc>
          <w:tcPr>
            <w:tcW w:type="dxa" w:w="2757"/>
          </w:tcPr>
          <w:p>
            <w:r>
              <w:rPr>
                <w:rFonts w:ascii="Times New Roman" w:hAnsi="Times New Roman"/>
                <w:color w:val="000000"/>
                <w:sz w:val="22"/>
              </w:rPr>
              <w:t>Layak (full-record)</w:t>
            </w:r>
          </w:p>
        </w:tc>
        <w:tc>
          <w:tcPr>
            <w:tcW w:type="dxa" w:w="2757"/>
          </w:tcPr>
          <w:p>
            <w:r>
              <w:rPr>
                <w:rFonts w:ascii="Times New Roman" w:hAnsi="Times New Roman"/>
                <w:color w:val="000000"/>
                <w:sz w:val="22"/>
              </w:rPr>
              <w:t>101</w:t>
            </w:r>
          </w:p>
        </w:tc>
        <w:tc>
          <w:tcPr>
            <w:tcW w:type="dxa" w:w="2757"/>
          </w:tcPr>
          <w:p>
            <w:r>
              <w:rPr>
                <w:rFonts w:ascii="Times New Roman" w:hAnsi="Times New Roman"/>
                <w:color w:val="000000"/>
                <w:sz w:val="22"/>
              </w:rPr>
              <w:t>Artikel inti berabstrak, 2015-2026</w:t>
            </w:r>
          </w:p>
        </w:tc>
      </w:tr>
      <w:tr>
        <w:tc>
          <w:tcPr>
            <w:tcW w:type="dxa" w:w="2757"/>
          </w:tcPr>
          <w:p>
            <w:r>
              <w:rPr>
                <w:rFonts w:ascii="Times New Roman" w:hAnsi="Times New Roman"/>
                <w:color w:val="000000"/>
                <w:sz w:val="22"/>
              </w:rPr>
              <w:t>Termasuk (korpus sintesis)</w:t>
            </w:r>
          </w:p>
        </w:tc>
        <w:tc>
          <w:tcPr>
            <w:tcW w:type="dxa" w:w="2757"/>
          </w:tcPr>
          <w:p>
            <w:r>
              <w:rPr>
                <w:rFonts w:ascii="Times New Roman" w:hAnsi="Times New Roman"/>
                <w:color w:val="000000"/>
                <w:sz w:val="22"/>
              </w:rPr>
              <w:t>101</w:t>
            </w:r>
          </w:p>
        </w:tc>
        <w:tc>
          <w:tcPr>
            <w:tcW w:type="dxa" w:w="2757"/>
          </w:tcPr>
          <w:p>
            <w:r>
              <w:rPr>
                <w:rFonts w:ascii="Times New Roman" w:hAnsi="Times New Roman"/>
                <w:color w:val="000000"/>
                <w:sz w:val="22"/>
              </w:rPr>
              <w:t>Semua pilar A-G tercakup</w:t>
            </w:r>
          </w:p>
        </w:tc>
      </w:tr>
    </w:tbl>
    <w:p/>
    <w:p>
      <w:pPr>
        <w:spacing w:line="360" w:lineRule="auto" w:before="0" w:after="0"/>
        <w:jc w:val="both"/>
      </w:pPr>
      <w:r>
        <w:rPr>
          <w:rFonts w:ascii="Times New Roman" w:hAnsi="Times New Roman"/>
          <w:b w:val="0"/>
          <w:color w:val="000000"/>
          <w:sz w:val="24"/>
        </w:rPr>
        <w:t>3.2 Sebaran Pilar</w:t>
      </w:r>
    </w:p>
    <w:p/>
    <w:tbl>
      <w:tblPr>
        <w:tblStyle w:val="TableGrid"/>
        <w:tblW w:type="auto" w:w="0"/>
        <w:jc w:val="center"/>
        <w:tblLook w:firstColumn="1" w:firstRow="1" w:lastColumn="0" w:lastRow="0" w:noHBand="0" w:noVBand="1" w:val="04A0"/>
      </w:tblPr>
      <w:tblGrid>
        <w:gridCol w:w="4135"/>
        <w:gridCol w:w="4135"/>
      </w:tblGrid>
      <w:tr>
        <w:tc>
          <w:tcPr>
            <w:tcW w:type="dxa" w:w="4135"/>
          </w:tcPr>
          <w:p>
            <w:r>
              <w:rPr>
                <w:rFonts w:ascii="Times New Roman" w:hAnsi="Times New Roman"/>
                <w:color w:val="000000"/>
                <w:sz w:val="22"/>
              </w:rPr>
              <w:t>Pilar/Tema</w:t>
            </w:r>
          </w:p>
        </w:tc>
        <w:tc>
          <w:tcPr>
            <w:tcW w:type="dxa" w:w="4135"/>
          </w:tcPr>
          <w:p>
            <w:r>
              <w:rPr>
                <w:rFonts w:ascii="Times New Roman" w:hAnsi="Times New Roman"/>
                <w:color w:val="000000"/>
                <w:sz w:val="22"/>
              </w:rPr>
              <w:t>Jumlah Artikel</w:t>
            </w:r>
          </w:p>
        </w:tc>
      </w:tr>
      <w:tr>
        <w:tc>
          <w:tcPr>
            <w:tcW w:type="dxa" w:w="4135"/>
          </w:tcPr>
          <w:p>
            <w:r>
              <w:rPr>
                <w:rFonts w:ascii="Times New Roman" w:hAnsi="Times New Roman"/>
                <w:color w:val="000000"/>
                <w:sz w:val="22"/>
              </w:rPr>
              <w:t>A. Survival Analysis &amp; Censored Data</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B. Deep Learning RUL</w:t>
            </w:r>
          </w:p>
        </w:tc>
        <w:tc>
          <w:tcPr>
            <w:tcW w:type="dxa" w:w="4135"/>
          </w:tcPr>
          <w:p>
            <w:r>
              <w:rPr>
                <w:rFonts w:ascii="Times New Roman" w:hAnsi="Times New Roman"/>
                <w:color w:val="000000"/>
                <w:sz w:val="22"/>
              </w:rPr>
              <w:t>24</w:t>
            </w:r>
          </w:p>
        </w:tc>
      </w:tr>
      <w:tr>
        <w:tc>
          <w:tcPr>
            <w:tcW w:type="dxa" w:w="4135"/>
          </w:tcPr>
          <w:p>
            <w:r>
              <w:rPr>
                <w:rFonts w:ascii="Times New Roman" w:hAnsi="Times New Roman"/>
                <w:color w:val="000000"/>
                <w:sz w:val="22"/>
              </w:rPr>
              <w:t>C. Bayesian &amp; Uncertainty</w:t>
            </w:r>
          </w:p>
        </w:tc>
        <w:tc>
          <w:tcPr>
            <w:tcW w:type="dxa" w:w="4135"/>
          </w:tcPr>
          <w:p>
            <w:r>
              <w:rPr>
                <w:rFonts w:ascii="Times New Roman" w:hAnsi="Times New Roman"/>
                <w:color w:val="000000"/>
                <w:sz w:val="22"/>
              </w:rPr>
              <w:t>15</w:t>
            </w:r>
          </w:p>
        </w:tc>
      </w:tr>
      <w:tr>
        <w:tc>
          <w:tcPr>
            <w:tcW w:type="dxa" w:w="4135"/>
          </w:tcPr>
          <w:p>
            <w:r>
              <w:rPr>
                <w:rFonts w:ascii="Times New Roman" w:hAnsi="Times New Roman"/>
                <w:color w:val="000000"/>
                <w:sz w:val="22"/>
              </w:rPr>
              <w:t>D. Small-data/Transfer/Hierarchical</w:t>
            </w:r>
          </w:p>
        </w:tc>
        <w:tc>
          <w:tcPr>
            <w:tcW w:type="dxa" w:w="4135"/>
          </w:tcPr>
          <w:p>
            <w:r>
              <w:rPr>
                <w:rFonts w:ascii="Times New Roman" w:hAnsi="Times New Roman"/>
                <w:color w:val="000000"/>
                <w:sz w:val="22"/>
              </w:rPr>
              <w:t>9</w:t>
            </w:r>
          </w:p>
        </w:tc>
      </w:tr>
      <w:tr>
        <w:tc>
          <w:tcPr>
            <w:tcW w:type="dxa" w:w="4135"/>
          </w:tcPr>
          <w:p>
            <w:r>
              <w:rPr>
                <w:rFonts w:ascii="Times New Roman" w:hAnsi="Times New Roman"/>
                <w:color w:val="000000"/>
                <w:sz w:val="22"/>
              </w:rPr>
              <w:t>E. Membrane/RO/Desalination</w:t>
            </w:r>
          </w:p>
        </w:tc>
        <w:tc>
          <w:tcPr>
            <w:tcW w:type="dxa" w:w="4135"/>
          </w:tcPr>
          <w:p>
            <w:r>
              <w:rPr>
                <w:rFonts w:ascii="Times New Roman" w:hAnsi="Times New Roman"/>
                <w:color w:val="000000"/>
                <w:sz w:val="22"/>
              </w:rPr>
              <w:t>22</w:t>
            </w:r>
          </w:p>
        </w:tc>
      </w:tr>
      <w:tr>
        <w:tc>
          <w:tcPr>
            <w:tcW w:type="dxa" w:w="4135"/>
          </w:tcPr>
          <w:p>
            <w:r>
              <w:rPr>
                <w:rFonts w:ascii="Times New Roman" w:hAnsi="Times New Roman"/>
                <w:color w:val="000000"/>
                <w:sz w:val="22"/>
              </w:rPr>
              <w:t>F. DSS &amp; Predictive Maintenance (IS)</w:t>
            </w:r>
          </w:p>
        </w:tc>
        <w:tc>
          <w:tcPr>
            <w:tcW w:type="dxa" w:w="4135"/>
          </w:tcPr>
          <w:p>
            <w:r>
              <w:rPr>
                <w:rFonts w:ascii="Times New Roman" w:hAnsi="Times New Roman"/>
                <w:color w:val="000000"/>
                <w:sz w:val="22"/>
              </w:rPr>
              <w:t>6</w:t>
            </w:r>
          </w:p>
        </w:tc>
      </w:tr>
      <w:tr>
        <w:tc>
          <w:tcPr>
            <w:tcW w:type="dxa" w:w="4135"/>
          </w:tcPr>
          <w:p>
            <w:r>
              <w:rPr>
                <w:rFonts w:ascii="Times New Roman" w:hAnsi="Times New Roman"/>
                <w:color w:val="000000"/>
                <w:sz w:val="22"/>
              </w:rPr>
              <w:t>G. Konteks Indonesia/Air</w:t>
            </w:r>
          </w:p>
        </w:tc>
        <w:tc>
          <w:tcPr>
            <w:tcW w:type="dxa" w:w="4135"/>
          </w:tcPr>
          <w:p>
            <w:r>
              <w:rPr>
                <w:rFonts w:ascii="Times New Roman" w:hAnsi="Times New Roman"/>
                <w:color w:val="000000"/>
                <w:sz w:val="22"/>
              </w:rPr>
              <w:t>1</w:t>
            </w:r>
          </w:p>
        </w:tc>
      </w:tr>
    </w:tbl>
    <w:p/>
    <w:p>
      <w:pPr>
        <w:spacing w:line="360" w:lineRule="auto" w:before="0" w:after="0"/>
        <w:jc w:val="both"/>
      </w:pPr>
      <w:r>
        <w:rPr>
          <w:rFonts w:ascii="Times New Roman" w:hAnsi="Times New Roman"/>
          <w:b w:val="0"/>
          <w:color w:val="000000"/>
          <w:sz w:val="24"/>
        </w:rPr>
        <w:t>3.3 Matriks Konsep (sebaran dimensi)</w:t>
      </w:r>
    </w:p>
    <w:p/>
    <w:tbl>
      <w:tblPr>
        <w:tblStyle w:val="TableGrid"/>
        <w:tblW w:type="auto" w:w="0"/>
        <w:jc w:val="center"/>
        <w:tblLook w:firstColumn="1" w:firstRow="1" w:lastColumn="0" w:lastRow="0" w:noHBand="0" w:noVBand="1" w:val="04A0"/>
      </w:tblPr>
      <w:tblGrid>
        <w:gridCol w:w="2757"/>
        <w:gridCol w:w="2757"/>
        <w:gridCol w:w="2757"/>
      </w:tblGrid>
      <w:tr>
        <w:tc>
          <w:tcPr>
            <w:tcW w:type="dxa" w:w="2757"/>
          </w:tcPr>
          <w:p>
            <w:r>
              <w:rPr>
                <w:rFonts w:ascii="Times New Roman" w:hAnsi="Times New Roman"/>
                <w:color w:val="000000"/>
                <w:sz w:val="22"/>
              </w:rPr>
              <w:t>Dimensi Konsep</w:t>
            </w:r>
          </w:p>
        </w:tc>
        <w:tc>
          <w:tcPr>
            <w:tcW w:type="dxa" w:w="2757"/>
          </w:tcPr>
          <w:p>
            <w:r>
              <w:rPr>
                <w:rFonts w:ascii="Times New Roman" w:hAnsi="Times New Roman"/>
                <w:color w:val="000000"/>
                <w:sz w:val="22"/>
              </w:rPr>
              <w:t>Jumlah Artikel</w:t>
            </w:r>
          </w:p>
        </w:tc>
        <w:tc>
          <w:tcPr>
            <w:tcW w:type="dxa" w:w="2757"/>
          </w:tcPr>
          <w:p>
            <w:r>
              <w:rPr>
                <w:rFonts w:ascii="Times New Roman" w:hAnsi="Times New Roman"/>
                <w:color w:val="000000"/>
                <w:sz w:val="22"/>
              </w:rPr>
              <w:t>/ Total</w:t>
            </w:r>
          </w:p>
        </w:tc>
      </w:tr>
      <w:tr>
        <w:tc>
          <w:tcPr>
            <w:tcW w:type="dxa" w:w="2757"/>
          </w:tcPr>
          <w:p>
            <w:r>
              <w:rPr>
                <w:rFonts w:ascii="Times New Roman" w:hAnsi="Times New Roman"/>
                <w:color w:val="000000"/>
                <w:sz w:val="22"/>
              </w:rPr>
              <w:t>D1 Data/Sensor</w:t>
            </w:r>
          </w:p>
        </w:tc>
        <w:tc>
          <w:tcPr>
            <w:tcW w:type="dxa" w:w="2757"/>
          </w:tcPr>
          <w:p>
            <w:r>
              <w:rPr>
                <w:rFonts w:ascii="Times New Roman" w:hAnsi="Times New Roman"/>
                <w:color w:val="000000"/>
                <w:sz w:val="22"/>
              </w:rPr>
              <w:t>87</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D2 Target/Failure</w:t>
            </w:r>
          </w:p>
        </w:tc>
        <w:tc>
          <w:tcPr>
            <w:tcW w:type="dxa" w:w="2757"/>
          </w:tcPr>
          <w:p>
            <w:r>
              <w:rPr>
                <w:rFonts w:ascii="Times New Roman" w:hAnsi="Times New Roman"/>
                <w:color w:val="000000"/>
                <w:sz w:val="22"/>
              </w:rPr>
              <w:t>83</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D3 Censoring</w:t>
            </w:r>
          </w:p>
        </w:tc>
        <w:tc>
          <w:tcPr>
            <w:tcW w:type="dxa" w:w="2757"/>
          </w:tcPr>
          <w:p>
            <w:r>
              <w:rPr>
                <w:rFonts w:ascii="Times New Roman" w:hAnsi="Times New Roman"/>
                <w:color w:val="000000"/>
                <w:sz w:val="22"/>
              </w:rPr>
              <w:t>28</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D4 Arsitektur Model</w:t>
            </w:r>
          </w:p>
        </w:tc>
        <w:tc>
          <w:tcPr>
            <w:tcW w:type="dxa" w:w="2757"/>
          </w:tcPr>
          <w:p>
            <w:r>
              <w:rPr>
                <w:rFonts w:ascii="Times New Roman" w:hAnsi="Times New Roman"/>
                <w:color w:val="000000"/>
                <w:sz w:val="22"/>
              </w:rPr>
              <w:t>90</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D5 Ketidakpastian</w:t>
            </w:r>
          </w:p>
        </w:tc>
        <w:tc>
          <w:tcPr>
            <w:tcW w:type="dxa" w:w="2757"/>
          </w:tcPr>
          <w:p>
            <w:r>
              <w:rPr>
                <w:rFonts w:ascii="Times New Roman" w:hAnsi="Times New Roman"/>
                <w:color w:val="000000"/>
                <w:sz w:val="22"/>
              </w:rPr>
              <w:t>50</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D6 Keputusan/DSS</w:t>
            </w:r>
          </w:p>
        </w:tc>
        <w:tc>
          <w:tcPr>
            <w:tcW w:type="dxa" w:w="2757"/>
          </w:tcPr>
          <w:p>
            <w:r>
              <w:rPr>
                <w:rFonts w:ascii="Times New Roman" w:hAnsi="Times New Roman"/>
                <w:color w:val="000000"/>
                <w:sz w:val="22"/>
              </w:rPr>
              <w:t>33</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D7 Domain RO/Membran</w:t>
            </w:r>
          </w:p>
        </w:tc>
        <w:tc>
          <w:tcPr>
            <w:tcW w:type="dxa" w:w="2757"/>
          </w:tcPr>
          <w:p>
            <w:r>
              <w:rPr>
                <w:rFonts w:ascii="Times New Roman" w:hAnsi="Times New Roman"/>
                <w:color w:val="000000"/>
                <w:sz w:val="22"/>
              </w:rPr>
              <w:t>24</w:t>
            </w:r>
          </w:p>
        </w:tc>
        <w:tc>
          <w:tcPr>
            <w:tcW w:type="dxa" w:w="2757"/>
          </w:tcPr>
          <w:p>
            <w:r>
              <w:rPr>
                <w:rFonts w:ascii="Times New Roman" w:hAnsi="Times New Roman"/>
                <w:color w:val="000000"/>
                <w:sz w:val="22"/>
              </w:rPr>
              <w:t>/101</w:t>
            </w:r>
          </w:p>
        </w:tc>
      </w:tr>
      <w:tr>
        <w:tc>
          <w:tcPr>
            <w:tcW w:type="dxa" w:w="2757"/>
          </w:tcPr>
          <w:p>
            <w:r>
              <w:rPr>
                <w:rFonts w:ascii="Times New Roman" w:hAnsi="Times New Roman"/>
                <w:color w:val="000000"/>
                <w:sz w:val="22"/>
              </w:rPr>
              <w:t>D8 Skala Data</w:t>
            </w:r>
          </w:p>
        </w:tc>
        <w:tc>
          <w:tcPr>
            <w:tcW w:type="dxa" w:w="2757"/>
          </w:tcPr>
          <w:p>
            <w:r>
              <w:rPr>
                <w:rFonts w:ascii="Times New Roman" w:hAnsi="Times New Roman"/>
                <w:color w:val="000000"/>
                <w:sz w:val="22"/>
              </w:rPr>
              <w:t>38</w:t>
            </w:r>
          </w:p>
        </w:tc>
        <w:tc>
          <w:tcPr>
            <w:tcW w:type="dxa" w:w="2757"/>
          </w:tcPr>
          <w:p>
            <w:r>
              <w:rPr>
                <w:rFonts w:ascii="Times New Roman" w:hAnsi="Times New Roman"/>
                <w:color w:val="000000"/>
                <w:sz w:val="22"/>
              </w:rPr>
              <w:t>/101</w:t>
            </w:r>
          </w:p>
        </w:tc>
      </w:tr>
    </w:tbl>
    <w:p/>
    <w:p>
      <w:pPr>
        <w:spacing w:line="360" w:lineRule="auto" w:before="0" w:after="0"/>
        <w:jc w:val="both"/>
      </w:pPr>
      <w:r>
        <w:rPr>
          <w:rFonts w:ascii="Times New Roman" w:hAnsi="Times New Roman"/>
          <w:b w:val="0"/>
          <w:color w:val="000000"/>
          <w:sz w:val="24"/>
        </w:rPr>
        <w:t>3.4 Contoh Artikel Inti</w:t>
      </w:r>
    </w:p>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color w:val="000000"/>
                <w:sz w:val="22"/>
              </w:rPr>
              <w:t>No</w:t>
            </w:r>
          </w:p>
        </w:tc>
        <w:tc>
          <w:tcPr>
            <w:tcW w:type="dxa" w:w="1654"/>
          </w:tcPr>
          <w:p>
            <w:r>
              <w:rPr>
                <w:rFonts w:ascii="Times New Roman" w:hAnsi="Times New Roman"/>
                <w:color w:val="000000"/>
                <w:sz w:val="22"/>
              </w:rPr>
              <w:t>Tahun</w:t>
            </w:r>
          </w:p>
        </w:tc>
        <w:tc>
          <w:tcPr>
            <w:tcW w:type="dxa" w:w="1654"/>
          </w:tcPr>
          <w:p>
            <w:r>
              <w:rPr>
                <w:rFonts w:ascii="Times New Roman" w:hAnsi="Times New Roman"/>
                <w:color w:val="000000"/>
                <w:sz w:val="22"/>
              </w:rPr>
              <w:t>Jurnal</w:t>
            </w:r>
          </w:p>
        </w:tc>
        <w:tc>
          <w:tcPr>
            <w:tcW w:type="dxa" w:w="1654"/>
          </w:tcPr>
          <w:p>
            <w:r>
              <w:rPr>
                <w:rFonts w:ascii="Times New Roman" w:hAnsi="Times New Roman"/>
                <w:color w:val="000000"/>
                <w:sz w:val="22"/>
              </w:rPr>
              <w:t>Judul</w:t>
            </w:r>
          </w:p>
        </w:tc>
        <w:tc>
          <w:tcPr>
            <w:tcW w:type="dxa" w:w="1654"/>
          </w:tcPr>
          <w:p>
            <w:r>
              <w:rPr>
                <w:rFonts w:ascii="Times New Roman" w:hAnsi="Times New Roman"/>
                <w:color w:val="000000"/>
                <w:sz w:val="22"/>
              </w:rPr>
              <w:t>Pilar</w:t>
            </w:r>
          </w:p>
        </w:tc>
      </w:tr>
      <w:tr>
        <w:tc>
          <w:tcPr>
            <w:tcW w:type="dxa" w:w="1654"/>
          </w:tcPr>
          <w:p>
            <w:r>
              <w:rPr>
                <w:rFonts w:ascii="Times New Roman" w:hAnsi="Times New Roman"/>
                <w:color w:val="000000"/>
                <w:sz w:val="22"/>
              </w:rPr>
              <w:t>1</w:t>
            </w:r>
          </w:p>
        </w:tc>
        <w:tc>
          <w:tcPr>
            <w:tcW w:type="dxa" w:w="1654"/>
          </w:tcPr>
          <w:p>
            <w:r>
              <w:rPr>
                <w:rFonts w:ascii="Times New Roman" w:hAnsi="Times New Roman"/>
                <w:color w:val="000000"/>
                <w:sz w:val="22"/>
              </w:rPr>
              <w:t>2012</w:t>
            </w:r>
          </w:p>
        </w:tc>
        <w:tc>
          <w:tcPr>
            <w:tcW w:type="dxa" w:w="1654"/>
          </w:tcPr>
          <w:p>
            <w:r>
              <w:rPr>
                <w:rFonts w:ascii="Times New Roman" w:hAnsi="Times New Roman"/>
                <w:color w:val="000000"/>
                <w:sz w:val="22"/>
              </w:rPr>
              <w:t>Mechanical Systems and Signal Proc</w:t>
            </w:r>
          </w:p>
        </w:tc>
        <w:tc>
          <w:tcPr>
            <w:tcW w:type="dxa" w:w="1654"/>
          </w:tcPr>
          <w:p>
            <w:r>
              <w:rPr>
                <w:rFonts w:ascii="Times New Roman" w:hAnsi="Times New Roman"/>
                <w:color w:val="000000"/>
                <w:sz w:val="22"/>
              </w:rPr>
              <w:t>Machine performance degradation assessment and remaining useful life p</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2</w:t>
            </w:r>
          </w:p>
        </w:tc>
        <w:tc>
          <w:tcPr>
            <w:tcW w:type="dxa" w:w="1654"/>
          </w:tcPr>
          <w:p>
            <w:r>
              <w:rPr>
                <w:rFonts w:ascii="Times New Roman" w:hAnsi="Times New Roman"/>
                <w:color w:val="000000"/>
                <w:sz w:val="22"/>
              </w:rPr>
              <w:t>2014</w:t>
            </w:r>
          </w:p>
        </w:tc>
        <w:tc>
          <w:tcPr>
            <w:tcW w:type="dxa" w:w="1654"/>
          </w:tcPr>
          <w:p>
            <w:r>
              <w:rPr>
                <w:rFonts w:ascii="Times New Roman" w:hAnsi="Times New Roman"/>
                <w:color w:val="000000"/>
                <w:sz w:val="22"/>
              </w:rPr>
              <w:t>The Scientific World JOURNAL</w:t>
            </w:r>
          </w:p>
        </w:tc>
        <w:tc>
          <w:tcPr>
            <w:tcW w:type="dxa" w:w="1654"/>
          </w:tcPr>
          <w:p>
            <w:r>
              <w:rPr>
                <w:rFonts w:ascii="Times New Roman" w:hAnsi="Times New Roman"/>
                <w:color w:val="000000"/>
                <w:sz w:val="22"/>
              </w:rPr>
              <w:t>Thermal Cycling Life Prediction of Sn-3.0Ag-0.5Cu Solder Joint Using T</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3</w:t>
            </w:r>
          </w:p>
        </w:tc>
        <w:tc>
          <w:tcPr>
            <w:tcW w:type="dxa" w:w="1654"/>
          </w:tcPr>
          <w:p>
            <w:r>
              <w:rPr>
                <w:rFonts w:ascii="Times New Roman" w:hAnsi="Times New Roman"/>
                <w:color w:val="000000"/>
                <w:sz w:val="22"/>
              </w:rPr>
              <w:t>2017</w:t>
            </w:r>
          </w:p>
        </w:tc>
        <w:tc>
          <w:tcPr>
            <w:tcW w:type="dxa" w:w="1654"/>
          </w:tcPr>
          <w:p>
            <w:r>
              <w:rPr>
                <w:rFonts w:ascii="Times New Roman" w:hAnsi="Times New Roman"/>
                <w:color w:val="000000"/>
                <w:sz w:val="22"/>
              </w:rPr>
              <w:t>Batteries</w:t>
            </w:r>
          </w:p>
        </w:tc>
        <w:tc>
          <w:tcPr>
            <w:tcW w:type="dxa" w:w="1654"/>
          </w:tcPr>
          <w:p>
            <w:r>
              <w:rPr>
                <w:rFonts w:ascii="Times New Roman" w:hAnsi="Times New Roman"/>
                <w:color w:val="000000"/>
                <w:sz w:val="22"/>
              </w:rPr>
              <w:t>Statistical Characterization of the State-of-Health of Lithium-Ion Bat</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4</w:t>
            </w:r>
          </w:p>
        </w:tc>
        <w:tc>
          <w:tcPr>
            <w:tcW w:type="dxa" w:w="1654"/>
          </w:tcPr>
          <w:p>
            <w:r>
              <w:rPr>
                <w:rFonts w:ascii="Times New Roman" w:hAnsi="Times New Roman"/>
                <w:color w:val="000000"/>
                <w:sz w:val="22"/>
              </w:rPr>
              <w:t>2016</w:t>
            </w:r>
          </w:p>
        </w:tc>
        <w:tc>
          <w:tcPr>
            <w:tcW w:type="dxa" w:w="1654"/>
          </w:tcPr>
          <w:p>
            <w:r>
              <w:rPr>
                <w:rFonts w:ascii="Times New Roman" w:hAnsi="Times New Roman"/>
                <w:color w:val="000000"/>
                <w:sz w:val="22"/>
              </w:rPr>
              <w:t>Reliability Engineering &amp; System S</w:t>
            </w:r>
          </w:p>
        </w:tc>
        <w:tc>
          <w:tcPr>
            <w:tcW w:type="dxa" w:w="1654"/>
          </w:tcPr>
          <w:p>
            <w:r>
              <w:rPr>
                <w:rFonts w:ascii="Times New Roman" w:hAnsi="Times New Roman"/>
                <w:color w:val="000000"/>
                <w:sz w:val="22"/>
              </w:rPr>
              <w:t>Remaining useful life estimation in heterogeneous fleets working under</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5</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Sensors</w:t>
            </w:r>
          </w:p>
        </w:tc>
        <w:tc>
          <w:tcPr>
            <w:tcW w:type="dxa" w:w="1654"/>
          </w:tcPr>
          <w:p>
            <w:r>
              <w:rPr>
                <w:rFonts w:ascii="Times New Roman" w:hAnsi="Times New Roman"/>
                <w:color w:val="000000"/>
                <w:sz w:val="22"/>
              </w:rPr>
              <w:t>Interval Prediction of Remaining Useful Life Based on Uncertainty Quan</w:t>
            </w:r>
          </w:p>
        </w:tc>
        <w:tc>
          <w:tcPr>
            <w:tcW w:type="dxa" w:w="1654"/>
          </w:tcPr>
          <w:p>
            <w:r>
              <w:rPr>
                <w:rFonts w:ascii="Times New Roman" w:hAnsi="Times New Roman"/>
                <w:color w:val="000000"/>
                <w:sz w:val="22"/>
              </w:rPr>
              <w:t>C. Bayesian &amp; Uncertainty</w:t>
            </w:r>
          </w:p>
        </w:tc>
      </w:tr>
      <w:tr>
        <w:tc>
          <w:tcPr>
            <w:tcW w:type="dxa" w:w="1654"/>
          </w:tcPr>
          <w:p>
            <w:r>
              <w:rPr>
                <w:rFonts w:ascii="Times New Roman" w:hAnsi="Times New Roman"/>
                <w:color w:val="000000"/>
                <w:sz w:val="22"/>
              </w:rPr>
              <w:t>6</w:t>
            </w:r>
          </w:p>
        </w:tc>
        <w:tc>
          <w:tcPr>
            <w:tcW w:type="dxa" w:w="1654"/>
          </w:tcPr>
          <w:p>
            <w:r>
              <w:rPr>
                <w:rFonts w:ascii="Times New Roman" w:hAnsi="Times New Roman"/>
                <w:color w:val="000000"/>
                <w:sz w:val="22"/>
              </w:rPr>
              <w:t>2020</w:t>
            </w:r>
          </w:p>
        </w:tc>
        <w:tc>
          <w:tcPr>
            <w:tcW w:type="dxa" w:w="1654"/>
          </w:tcPr>
          <w:p>
            <w:r>
              <w:rPr>
                <w:rFonts w:ascii="Times New Roman" w:hAnsi="Times New Roman"/>
                <w:color w:val="000000"/>
                <w:sz w:val="22"/>
              </w:rPr>
              <w:t>International Journal of Prognosti</w:t>
            </w:r>
          </w:p>
        </w:tc>
        <w:tc>
          <w:tcPr>
            <w:tcW w:type="dxa" w:w="1654"/>
          </w:tcPr>
          <w:p>
            <w:r>
              <w:rPr>
                <w:rFonts w:ascii="Times New Roman" w:hAnsi="Times New Roman"/>
                <w:color w:val="000000"/>
                <w:sz w:val="22"/>
              </w:rPr>
              <w:t>Uncertainty in Prognostics and Systems Health Management</w:t>
            </w:r>
          </w:p>
        </w:tc>
        <w:tc>
          <w:tcPr>
            <w:tcW w:type="dxa" w:w="1654"/>
          </w:tcPr>
          <w:p>
            <w:r>
              <w:rPr>
                <w:rFonts w:ascii="Times New Roman" w:hAnsi="Times New Roman"/>
                <w:color w:val="000000"/>
                <w:sz w:val="22"/>
              </w:rPr>
              <w:t>C. Bayesian &amp; Uncertainty</w:t>
            </w:r>
          </w:p>
        </w:tc>
      </w:tr>
      <w:tr>
        <w:tc>
          <w:tcPr>
            <w:tcW w:type="dxa" w:w="1654"/>
          </w:tcPr>
          <w:p>
            <w:r>
              <w:rPr>
                <w:rFonts w:ascii="Times New Roman" w:hAnsi="Times New Roman"/>
                <w:color w:val="000000"/>
                <w:sz w:val="22"/>
              </w:rPr>
              <w:t>7</w:t>
            </w:r>
          </w:p>
        </w:tc>
        <w:tc>
          <w:tcPr>
            <w:tcW w:type="dxa" w:w="1654"/>
          </w:tcPr>
          <w:p>
            <w:r>
              <w:rPr>
                <w:rFonts w:ascii="Times New Roman" w:hAnsi="Times New Roman"/>
                <w:color w:val="000000"/>
                <w:sz w:val="22"/>
              </w:rPr>
              <w:t>2021</w:t>
            </w:r>
          </w:p>
        </w:tc>
        <w:tc>
          <w:tcPr>
            <w:tcW w:type="dxa" w:w="1654"/>
          </w:tcPr>
          <w:p>
            <w:r>
              <w:rPr>
                <w:rFonts w:ascii="Times New Roman" w:hAnsi="Times New Roman"/>
                <w:color w:val="000000"/>
                <w:sz w:val="22"/>
              </w:rPr>
              <w:t>IET Collaborative Intelligent Manu</w:t>
            </w:r>
          </w:p>
        </w:tc>
        <w:tc>
          <w:tcPr>
            <w:tcW w:type="dxa" w:w="1654"/>
          </w:tcPr>
          <w:p>
            <w:r>
              <w:rPr>
                <w:rFonts w:ascii="Times New Roman" w:hAnsi="Times New Roman"/>
                <w:color w:val="000000"/>
                <w:sz w:val="22"/>
              </w:rPr>
              <w:t>A comprehensive framework from real‐time prognostics to maintenance de</w:t>
            </w:r>
          </w:p>
        </w:tc>
        <w:tc>
          <w:tcPr>
            <w:tcW w:type="dxa" w:w="1654"/>
          </w:tcPr>
          <w:p>
            <w:r>
              <w:rPr>
                <w:rFonts w:ascii="Times New Roman" w:hAnsi="Times New Roman"/>
                <w:color w:val="000000"/>
                <w:sz w:val="22"/>
              </w:rPr>
              <w:t>F. DSS &amp; Predictive Maintenance (IS)</w:t>
            </w:r>
          </w:p>
        </w:tc>
      </w:tr>
      <w:tr>
        <w:tc>
          <w:tcPr>
            <w:tcW w:type="dxa" w:w="1654"/>
          </w:tcPr>
          <w:p>
            <w:r>
              <w:rPr>
                <w:rFonts w:ascii="Times New Roman" w:hAnsi="Times New Roman"/>
                <w:color w:val="000000"/>
                <w:sz w:val="22"/>
              </w:rPr>
              <w:t>8</w:t>
            </w:r>
          </w:p>
        </w:tc>
        <w:tc>
          <w:tcPr>
            <w:tcW w:type="dxa" w:w="1654"/>
          </w:tcPr>
          <w:p>
            <w:r>
              <w:rPr>
                <w:rFonts w:ascii="Times New Roman" w:hAnsi="Times New Roman"/>
                <w:color w:val="000000"/>
                <w:sz w:val="22"/>
              </w:rPr>
              <w:t>2022</w:t>
            </w:r>
          </w:p>
        </w:tc>
        <w:tc>
          <w:tcPr>
            <w:tcW w:type="dxa" w:w="1654"/>
          </w:tcPr>
          <w:p>
            <w:r>
              <w:rPr>
                <w:rFonts w:ascii="Times New Roman" w:hAnsi="Times New Roman"/>
                <w:color w:val="000000"/>
                <w:sz w:val="22"/>
              </w:rPr>
              <w:t>Sensors</w:t>
            </w:r>
          </w:p>
        </w:tc>
        <w:tc>
          <w:tcPr>
            <w:tcW w:type="dxa" w:w="1654"/>
          </w:tcPr>
          <w:p>
            <w:r>
              <w:rPr>
                <w:rFonts w:ascii="Times New Roman" w:hAnsi="Times New Roman"/>
                <w:color w:val="000000"/>
                <w:sz w:val="22"/>
              </w:rPr>
              <w:t>Remaining Useful Life Prediction Method for Bearings Based on LSTM wit</w:t>
            </w:r>
          </w:p>
        </w:tc>
        <w:tc>
          <w:tcPr>
            <w:tcW w:type="dxa" w:w="1654"/>
          </w:tcPr>
          <w:p>
            <w:r>
              <w:rPr>
                <w:rFonts w:ascii="Times New Roman" w:hAnsi="Times New Roman"/>
                <w:color w:val="000000"/>
                <w:sz w:val="22"/>
              </w:rPr>
              <w:t>B. Deep Learning RUL</w:t>
            </w:r>
          </w:p>
        </w:tc>
      </w:tr>
      <w:tr>
        <w:tc>
          <w:tcPr>
            <w:tcW w:type="dxa" w:w="1654"/>
          </w:tcPr>
          <w:p>
            <w:r>
              <w:rPr>
                <w:rFonts w:ascii="Times New Roman" w:hAnsi="Times New Roman"/>
                <w:color w:val="000000"/>
                <w:sz w:val="22"/>
              </w:rPr>
              <w:t>9</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Scientific Reports</w:t>
            </w:r>
          </w:p>
        </w:tc>
        <w:tc>
          <w:tcPr>
            <w:tcW w:type="dxa" w:w="1654"/>
          </w:tcPr>
          <w:p>
            <w:r>
              <w:rPr>
                <w:rFonts w:ascii="Times New Roman" w:hAnsi="Times New Roman"/>
                <w:color w:val="000000"/>
                <w:sz w:val="22"/>
              </w:rPr>
              <w:t>Survival-analysis-guided machine learning for failure and remaining-us</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10</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Chemical Engineering Journal Advan</w:t>
            </w:r>
          </w:p>
        </w:tc>
        <w:tc>
          <w:tcPr>
            <w:tcW w:type="dxa" w:w="1654"/>
          </w:tcPr>
          <w:p>
            <w:r>
              <w:rPr>
                <w:rFonts w:ascii="Times New Roman" w:hAnsi="Times New Roman"/>
                <w:color w:val="000000"/>
                <w:sz w:val="22"/>
              </w:rPr>
              <w:t>AI-based remaining useful life prediction of seawater desalination mem</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11</w:t>
            </w:r>
          </w:p>
        </w:tc>
        <w:tc>
          <w:tcPr>
            <w:tcW w:type="dxa" w:w="1654"/>
          </w:tcPr>
          <w:p>
            <w:r>
              <w:rPr>
                <w:rFonts w:ascii="Times New Roman" w:hAnsi="Times New Roman"/>
                <w:color w:val="000000"/>
                <w:sz w:val="22"/>
              </w:rPr>
              <w:t>2025</w:t>
            </w:r>
          </w:p>
        </w:tc>
        <w:tc>
          <w:tcPr>
            <w:tcW w:type="dxa" w:w="1654"/>
          </w:tcPr>
          <w:p>
            <w:r>
              <w:rPr>
                <w:rFonts w:ascii="Times New Roman" w:hAnsi="Times New Roman"/>
                <w:color w:val="000000"/>
                <w:sz w:val="22"/>
              </w:rPr>
              <w:t>IEEE Transactions on Automation Sc</w:t>
            </w:r>
          </w:p>
        </w:tc>
        <w:tc>
          <w:tcPr>
            <w:tcW w:type="dxa" w:w="1654"/>
          </w:tcPr>
          <w:p>
            <w:r>
              <w:rPr>
                <w:rFonts w:ascii="Times New Roman" w:hAnsi="Times New Roman"/>
                <w:color w:val="000000"/>
                <w:sz w:val="22"/>
              </w:rPr>
              <w:t>A Neural Network-Based Survival Analysis Model Considering Censored Da</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12</w:t>
            </w:r>
          </w:p>
        </w:tc>
        <w:tc>
          <w:tcPr>
            <w:tcW w:type="dxa" w:w="1654"/>
          </w:tcPr>
          <w:p>
            <w:r>
              <w:rPr>
                <w:rFonts w:ascii="Times New Roman" w:hAnsi="Times New Roman"/>
                <w:color w:val="000000"/>
                <w:sz w:val="22"/>
              </w:rPr>
              <w:t>2025</w:t>
            </w:r>
          </w:p>
        </w:tc>
        <w:tc>
          <w:tcPr>
            <w:tcW w:type="dxa" w:w="1654"/>
          </w:tcPr>
          <w:p>
            <w:r>
              <w:rPr>
                <w:rFonts w:ascii="Times New Roman" w:hAnsi="Times New Roman"/>
                <w:color w:val="000000"/>
                <w:sz w:val="22"/>
              </w:rPr>
              <w:t>International Journal of Prognosti</w:t>
            </w:r>
          </w:p>
        </w:tc>
        <w:tc>
          <w:tcPr>
            <w:tcW w:type="dxa" w:w="1654"/>
          </w:tcPr>
          <w:p>
            <w:r>
              <w:rPr>
                <w:rFonts w:ascii="Times New Roman" w:hAnsi="Times New Roman"/>
                <w:color w:val="000000"/>
                <w:sz w:val="22"/>
              </w:rPr>
              <w:t>LSTM and Transformers based methods for Remaining Useful Life Predicti</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13</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Sensors</w:t>
            </w:r>
          </w:p>
        </w:tc>
        <w:tc>
          <w:tcPr>
            <w:tcW w:type="dxa" w:w="1654"/>
          </w:tcPr>
          <w:p>
            <w:r>
              <w:rPr>
                <w:rFonts w:ascii="Times New Roman" w:hAnsi="Times New Roman"/>
                <w:color w:val="000000"/>
                <w:sz w:val="22"/>
              </w:rPr>
              <w:t>Survival Models for Predictive Maintenance and Remaining Useful Life i</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14</w:t>
            </w:r>
          </w:p>
        </w:tc>
        <w:tc>
          <w:tcPr>
            <w:tcW w:type="dxa" w:w="1654"/>
          </w:tcPr>
          <w:p>
            <w:r>
              <w:rPr>
                <w:rFonts w:ascii="Times New Roman" w:hAnsi="Times New Roman"/>
                <w:color w:val="000000"/>
                <w:sz w:val="22"/>
              </w:rPr>
              <w:t>2018</w:t>
            </w:r>
          </w:p>
        </w:tc>
        <w:tc>
          <w:tcPr>
            <w:tcW w:type="dxa" w:w="1654"/>
          </w:tcPr>
          <w:p>
            <w:r>
              <w:rPr>
                <w:rFonts w:ascii="Times New Roman" w:hAnsi="Times New Roman"/>
                <w:color w:val="000000"/>
                <w:sz w:val="22"/>
              </w:rPr>
              <w:t>Applied Water Science</w:t>
            </w:r>
          </w:p>
        </w:tc>
        <w:tc>
          <w:tcPr>
            <w:tcW w:type="dxa" w:w="1654"/>
          </w:tcPr>
          <w:p>
            <w:r>
              <w:rPr>
                <w:rFonts w:ascii="Times New Roman" w:hAnsi="Times New Roman"/>
                <w:color w:val="000000"/>
                <w:sz w:val="22"/>
              </w:rPr>
              <w:t>Design and development of reverse osmosis (RO) plant status monitoring</w:t>
            </w:r>
          </w:p>
        </w:tc>
        <w:tc>
          <w:tcPr>
            <w:tcW w:type="dxa" w:w="1654"/>
          </w:tcPr>
          <w:p>
            <w:r>
              <w:rPr>
                <w:rFonts w:ascii="Times New Roman" w:hAnsi="Times New Roman"/>
                <w:color w:val="000000"/>
                <w:sz w:val="22"/>
              </w:rPr>
              <w:t>F. DSS &amp; Predictive Maintenance (IS)</w:t>
            </w:r>
          </w:p>
        </w:tc>
      </w:tr>
      <w:tr>
        <w:tc>
          <w:tcPr>
            <w:tcW w:type="dxa" w:w="1654"/>
          </w:tcPr>
          <w:p>
            <w:r>
              <w:rPr>
                <w:rFonts w:ascii="Times New Roman" w:hAnsi="Times New Roman"/>
                <w:color w:val="000000"/>
                <w:sz w:val="22"/>
              </w:rPr>
              <w:t>15</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Journal of Water Process Engineeri</w:t>
            </w:r>
          </w:p>
        </w:tc>
        <w:tc>
          <w:tcPr>
            <w:tcW w:type="dxa" w:w="1654"/>
          </w:tcPr>
          <w:p>
            <w:r>
              <w:rPr>
                <w:rFonts w:ascii="Times New Roman" w:hAnsi="Times New Roman"/>
                <w:color w:val="000000"/>
                <w:sz w:val="22"/>
              </w:rPr>
              <w:t>Mechanism-aligned machine learning for membrane fouling prediction and</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16</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Proceedings of Engineering and Tec</w:t>
            </w:r>
          </w:p>
        </w:tc>
        <w:tc>
          <w:tcPr>
            <w:tcW w:type="dxa" w:w="1654"/>
          </w:tcPr>
          <w:p>
            <w:r>
              <w:rPr>
                <w:rFonts w:ascii="Times New Roman" w:hAnsi="Times New Roman"/>
                <w:color w:val="000000"/>
                <w:sz w:val="22"/>
              </w:rPr>
              <w:t>Improved CNN-LSTM Bearing Remaining Useful Life Prediction Based on th</w:t>
            </w:r>
          </w:p>
        </w:tc>
        <w:tc>
          <w:tcPr>
            <w:tcW w:type="dxa" w:w="1654"/>
          </w:tcPr>
          <w:p>
            <w:r>
              <w:rPr>
                <w:rFonts w:ascii="Times New Roman" w:hAnsi="Times New Roman"/>
                <w:color w:val="000000"/>
                <w:sz w:val="22"/>
              </w:rPr>
              <w:t>B. Deep Learning RUL</w:t>
            </w:r>
          </w:p>
        </w:tc>
      </w:tr>
      <w:tr>
        <w:tc>
          <w:tcPr>
            <w:tcW w:type="dxa" w:w="1654"/>
          </w:tcPr>
          <w:p>
            <w:r>
              <w:rPr>
                <w:rFonts w:ascii="Times New Roman" w:hAnsi="Times New Roman"/>
                <w:color w:val="000000"/>
                <w:sz w:val="22"/>
              </w:rPr>
              <w:t>17</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IEEE Sensors Letters</w:t>
            </w:r>
          </w:p>
        </w:tc>
        <w:tc>
          <w:tcPr>
            <w:tcW w:type="dxa" w:w="1654"/>
          </w:tcPr>
          <w:p>
            <w:r>
              <w:rPr>
                <w:rFonts w:ascii="Times New Roman" w:hAnsi="Times New Roman"/>
                <w:color w:val="000000"/>
                <w:sz w:val="22"/>
              </w:rPr>
              <w:t>A Multisensor Cross-Modal Attention Framework for Weibull-Driven RUL E</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18</w:t>
            </w:r>
          </w:p>
        </w:tc>
        <w:tc>
          <w:tcPr>
            <w:tcW w:type="dxa" w:w="1654"/>
          </w:tcPr>
          <w:p>
            <w:r>
              <w:rPr>
                <w:rFonts w:ascii="Times New Roman" w:hAnsi="Times New Roman"/>
                <w:color w:val="000000"/>
                <w:sz w:val="22"/>
              </w:rPr>
              <w:t>2023</w:t>
            </w:r>
          </w:p>
        </w:tc>
        <w:tc>
          <w:tcPr>
            <w:tcW w:type="dxa" w:w="1654"/>
          </w:tcPr>
          <w:p>
            <w:r>
              <w:rPr>
                <w:rFonts w:ascii="Times New Roman" w:hAnsi="Times New Roman"/>
                <w:color w:val="000000"/>
                <w:sz w:val="22"/>
              </w:rPr>
              <w:t>Machine Learning with Applications</w:t>
            </w:r>
          </w:p>
        </w:tc>
        <w:tc>
          <w:tcPr>
            <w:tcW w:type="dxa" w:w="1654"/>
          </w:tcPr>
          <w:p>
            <w:r>
              <w:rPr>
                <w:rFonts w:ascii="Times New Roman" w:hAnsi="Times New Roman"/>
                <w:color w:val="000000"/>
                <w:sz w:val="22"/>
              </w:rPr>
              <w:t>Intelligent framework for coagulant dosing optimization in an industri</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19</w:t>
            </w:r>
          </w:p>
        </w:tc>
        <w:tc>
          <w:tcPr>
            <w:tcW w:type="dxa" w:w="1654"/>
          </w:tcPr>
          <w:p>
            <w:r>
              <w:rPr>
                <w:rFonts w:ascii="Times New Roman" w:hAnsi="Times New Roman"/>
                <w:color w:val="000000"/>
                <w:sz w:val="22"/>
              </w:rPr>
              <w:t>2022</w:t>
            </w:r>
          </w:p>
        </w:tc>
        <w:tc>
          <w:tcPr>
            <w:tcW w:type="dxa" w:w="1654"/>
          </w:tcPr>
          <w:p>
            <w:r>
              <w:rPr>
                <w:rFonts w:ascii="Times New Roman" w:hAnsi="Times New Roman"/>
                <w:color w:val="000000"/>
                <w:sz w:val="22"/>
              </w:rPr>
              <w:t>Neural Computing and Applications</w:t>
            </w:r>
          </w:p>
        </w:tc>
        <w:tc>
          <w:tcPr>
            <w:tcW w:type="dxa" w:w="1654"/>
          </w:tcPr>
          <w:p>
            <w:r>
              <w:rPr>
                <w:rFonts w:ascii="Times New Roman" w:hAnsi="Times New Roman"/>
                <w:color w:val="000000"/>
                <w:sz w:val="22"/>
              </w:rPr>
              <w:t>Weibull recurrent neural networks for failure prognosis using histogra</w:t>
            </w:r>
          </w:p>
        </w:tc>
        <w:tc>
          <w:tcPr>
            <w:tcW w:type="dxa" w:w="1654"/>
          </w:tcPr>
          <w:p>
            <w:r>
              <w:rPr>
                <w:rFonts w:ascii="Times New Roman" w:hAnsi="Times New Roman"/>
                <w:color w:val="000000"/>
                <w:sz w:val="22"/>
              </w:rPr>
              <w:t>A. Survival Analysis &amp; Censored Data</w:t>
            </w:r>
          </w:p>
        </w:tc>
      </w:tr>
      <w:tr>
        <w:tc>
          <w:tcPr>
            <w:tcW w:type="dxa" w:w="1654"/>
          </w:tcPr>
          <w:p>
            <w:r>
              <w:rPr>
                <w:rFonts w:ascii="Times New Roman" w:hAnsi="Times New Roman"/>
                <w:color w:val="000000"/>
                <w:sz w:val="22"/>
              </w:rPr>
              <w:t>20</w:t>
            </w:r>
          </w:p>
        </w:tc>
        <w:tc>
          <w:tcPr>
            <w:tcW w:type="dxa" w:w="1654"/>
          </w:tcPr>
          <w:p>
            <w:r>
              <w:rPr>
                <w:rFonts w:ascii="Times New Roman" w:hAnsi="Times New Roman"/>
                <w:color w:val="000000"/>
                <w:sz w:val="22"/>
              </w:rPr>
              <w:t>2025</w:t>
            </w:r>
          </w:p>
        </w:tc>
        <w:tc>
          <w:tcPr>
            <w:tcW w:type="dxa" w:w="1654"/>
          </w:tcPr>
          <w:p>
            <w:r>
              <w:rPr>
                <w:rFonts w:ascii="Times New Roman" w:hAnsi="Times New Roman"/>
                <w:color w:val="000000"/>
                <w:sz w:val="22"/>
              </w:rPr>
              <w:t>Desalination and Water Treatment</w:t>
            </w:r>
          </w:p>
        </w:tc>
        <w:tc>
          <w:tcPr>
            <w:tcW w:type="dxa" w:w="1654"/>
          </w:tcPr>
          <w:p>
            <w:r>
              <w:rPr>
                <w:rFonts w:ascii="Times New Roman" w:hAnsi="Times New Roman"/>
                <w:color w:val="000000"/>
                <w:sz w:val="22"/>
              </w:rPr>
              <w:t>An insight into real-time monitoring and predictive modelling of ultra</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21</w:t>
            </w:r>
          </w:p>
        </w:tc>
        <w:tc>
          <w:tcPr>
            <w:tcW w:type="dxa" w:w="1654"/>
          </w:tcPr>
          <w:p>
            <w:r>
              <w:rPr>
                <w:rFonts w:ascii="Times New Roman" w:hAnsi="Times New Roman"/>
                <w:color w:val="000000"/>
                <w:sz w:val="22"/>
              </w:rPr>
              <w:t>2026</w:t>
            </w:r>
          </w:p>
        </w:tc>
        <w:tc>
          <w:tcPr>
            <w:tcW w:type="dxa" w:w="1654"/>
          </w:tcPr>
          <w:p>
            <w:r>
              <w:rPr>
                <w:rFonts w:ascii="Times New Roman" w:hAnsi="Times New Roman"/>
                <w:color w:val="000000"/>
                <w:sz w:val="22"/>
              </w:rPr>
              <w:t>Eng, Advances in Engineering</w:t>
            </w:r>
          </w:p>
        </w:tc>
        <w:tc>
          <w:tcPr>
            <w:tcW w:type="dxa" w:w="1654"/>
          </w:tcPr>
          <w:p>
            <w:r>
              <w:rPr>
                <w:rFonts w:ascii="Times New Roman" w:hAnsi="Times New Roman"/>
                <w:color w:val="000000"/>
                <w:sz w:val="22"/>
              </w:rPr>
              <w:t>Prediction of Reverse Osmosis Membrane Fouling Using Machine Learning:</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22</w:t>
            </w:r>
          </w:p>
        </w:tc>
        <w:tc>
          <w:tcPr>
            <w:tcW w:type="dxa" w:w="1654"/>
          </w:tcPr>
          <w:p>
            <w:r>
              <w:rPr>
                <w:rFonts w:ascii="Times New Roman" w:hAnsi="Times New Roman"/>
                <w:color w:val="000000"/>
                <w:sz w:val="22"/>
              </w:rPr>
              <w:t>2025</w:t>
            </w:r>
          </w:p>
        </w:tc>
        <w:tc>
          <w:tcPr>
            <w:tcW w:type="dxa" w:w="1654"/>
          </w:tcPr>
          <w:p>
            <w:r>
              <w:rPr>
                <w:rFonts w:ascii="Times New Roman" w:hAnsi="Times New Roman"/>
                <w:color w:val="000000"/>
                <w:sz w:val="22"/>
              </w:rPr>
              <w:t>Science &amp; Technology Asia</w:t>
            </w:r>
          </w:p>
        </w:tc>
        <w:tc>
          <w:tcPr>
            <w:tcW w:type="dxa" w:w="1654"/>
          </w:tcPr>
          <w:p>
            <w:r>
              <w:rPr>
                <w:rFonts w:ascii="Times New Roman" w:hAnsi="Times New Roman"/>
                <w:color w:val="000000"/>
                <w:sz w:val="22"/>
              </w:rPr>
              <w:t>Predictive Modeling of Brackish Surface Water Quality for Reverse Osmo</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23</w:t>
            </w:r>
          </w:p>
        </w:tc>
        <w:tc>
          <w:tcPr>
            <w:tcW w:type="dxa" w:w="1654"/>
          </w:tcPr>
          <w:p>
            <w:r>
              <w:rPr>
                <w:rFonts w:ascii="Times New Roman" w:hAnsi="Times New Roman"/>
                <w:color w:val="000000"/>
                <w:sz w:val="22"/>
              </w:rPr>
              <w:t>2023</w:t>
            </w:r>
          </w:p>
        </w:tc>
        <w:tc>
          <w:tcPr>
            <w:tcW w:type="dxa" w:w="1654"/>
          </w:tcPr>
          <w:p>
            <w:r>
              <w:rPr>
                <w:rFonts w:ascii="Times New Roman" w:hAnsi="Times New Roman"/>
                <w:color w:val="000000"/>
                <w:sz w:val="22"/>
              </w:rPr>
              <w:t>Separations</w:t>
            </w:r>
          </w:p>
        </w:tc>
        <w:tc>
          <w:tcPr>
            <w:tcW w:type="dxa" w:w="1654"/>
          </w:tcPr>
          <w:p>
            <w:r>
              <w:rPr>
                <w:rFonts w:ascii="Times New Roman" w:hAnsi="Times New Roman"/>
                <w:color w:val="000000"/>
                <w:sz w:val="22"/>
              </w:rPr>
              <w:t>Multiscale Analysis of Permeable and Impermeable Wall Models for Seawa</w:t>
            </w:r>
          </w:p>
        </w:tc>
        <w:tc>
          <w:tcPr>
            <w:tcW w:type="dxa" w:w="1654"/>
          </w:tcPr>
          <w:p>
            <w:r>
              <w:rPr>
                <w:rFonts w:ascii="Times New Roman" w:hAnsi="Times New Roman"/>
                <w:color w:val="000000"/>
                <w:sz w:val="22"/>
              </w:rPr>
              <w:t>E. Membrane/RO/Desalination</w:t>
            </w:r>
          </w:p>
        </w:tc>
      </w:tr>
      <w:tr>
        <w:tc>
          <w:tcPr>
            <w:tcW w:type="dxa" w:w="1654"/>
          </w:tcPr>
          <w:p>
            <w:r>
              <w:rPr>
                <w:rFonts w:ascii="Times New Roman" w:hAnsi="Times New Roman"/>
                <w:color w:val="000000"/>
                <w:sz w:val="22"/>
              </w:rPr>
              <w:t>24</w:t>
            </w:r>
          </w:p>
        </w:tc>
        <w:tc>
          <w:tcPr>
            <w:tcW w:type="dxa" w:w="1654"/>
          </w:tcPr>
          <w:p>
            <w:r>
              <w:rPr>
                <w:rFonts w:ascii="Times New Roman" w:hAnsi="Times New Roman"/>
                <w:color w:val="000000"/>
                <w:sz w:val="22"/>
              </w:rPr>
              <w:t>2018</w:t>
            </w:r>
          </w:p>
        </w:tc>
        <w:tc>
          <w:tcPr>
            <w:tcW w:type="dxa" w:w="1654"/>
          </w:tcPr>
          <w:p>
            <w:r>
              <w:rPr>
                <w:rFonts w:ascii="Times New Roman" w:hAnsi="Times New Roman"/>
                <w:color w:val="000000"/>
                <w:sz w:val="22"/>
              </w:rPr>
              <w:t>Applied Sciences</w:t>
            </w:r>
          </w:p>
        </w:tc>
        <w:tc>
          <w:tcPr>
            <w:tcW w:type="dxa" w:w="1654"/>
          </w:tcPr>
          <w:p>
            <w:r>
              <w:rPr>
                <w:rFonts w:ascii="Times New Roman" w:hAnsi="Times New Roman"/>
                <w:color w:val="000000"/>
                <w:sz w:val="22"/>
              </w:rPr>
              <w:t>Transfer Learning with Deep Recurrent Neural Networks for Remaining Us</w:t>
            </w:r>
          </w:p>
        </w:tc>
        <w:tc>
          <w:tcPr>
            <w:tcW w:type="dxa" w:w="1654"/>
          </w:tcPr>
          <w:p>
            <w:r>
              <w:rPr>
                <w:rFonts w:ascii="Times New Roman" w:hAnsi="Times New Roman"/>
                <w:color w:val="000000"/>
                <w:sz w:val="22"/>
              </w:rPr>
              <w:t>D. Small-data/Transfer/Hierarchical</w:t>
            </w:r>
          </w:p>
        </w:tc>
      </w:tr>
      <w:tr>
        <w:tc>
          <w:tcPr>
            <w:tcW w:type="dxa" w:w="1654"/>
          </w:tcPr>
          <w:p>
            <w:r>
              <w:rPr>
                <w:rFonts w:ascii="Times New Roman" w:hAnsi="Times New Roman"/>
                <w:color w:val="000000"/>
                <w:sz w:val="22"/>
              </w:rPr>
              <w:t>25</w:t>
            </w:r>
          </w:p>
        </w:tc>
        <w:tc>
          <w:tcPr>
            <w:tcW w:type="dxa" w:w="1654"/>
          </w:tcPr>
          <w:p>
            <w:r>
              <w:rPr>
                <w:rFonts w:ascii="Times New Roman" w:hAnsi="Times New Roman"/>
                <w:color w:val="000000"/>
                <w:sz w:val="22"/>
              </w:rPr>
              <w:t>2024</w:t>
            </w:r>
          </w:p>
        </w:tc>
        <w:tc>
          <w:tcPr>
            <w:tcW w:type="dxa" w:w="1654"/>
          </w:tcPr>
          <w:p>
            <w:r>
              <w:rPr>
                <w:rFonts w:ascii="Times New Roman" w:hAnsi="Times New Roman"/>
                <w:color w:val="000000"/>
                <w:sz w:val="22"/>
              </w:rPr>
              <w:t>Journal of Water Process Engineeri</w:t>
            </w:r>
          </w:p>
        </w:tc>
        <w:tc>
          <w:tcPr>
            <w:tcW w:type="dxa" w:w="1654"/>
          </w:tcPr>
          <w:p>
            <w:r>
              <w:rPr>
                <w:rFonts w:ascii="Times New Roman" w:hAnsi="Times New Roman"/>
                <w:color w:val="000000"/>
                <w:sz w:val="22"/>
              </w:rPr>
              <w:t>Applications of artificial intelligence for membrane separation: A rev</w:t>
            </w:r>
          </w:p>
        </w:tc>
        <w:tc>
          <w:tcPr>
            <w:tcW w:type="dxa" w:w="1654"/>
          </w:tcPr>
          <w:p>
            <w:r>
              <w:rPr>
                <w:rFonts w:ascii="Times New Roman" w:hAnsi="Times New Roman"/>
                <w:color w:val="000000"/>
                <w:sz w:val="22"/>
              </w:rPr>
              <w:t>E. Membrane/RO/Desalination</w:t>
            </w:r>
          </w:p>
        </w:tc>
      </w:tr>
    </w:tbl>
    <w:p/>
    <w:p>
      <w:pPr>
        <w:spacing w:line="360" w:lineRule="auto" w:before="0" w:after="0"/>
        <w:jc w:val="both"/>
      </w:pPr>
      <w:r>
        <w:rPr>
          <w:rFonts w:ascii="Times New Roman" w:hAnsi="Times New Roman"/>
          <w:b w:val="0"/>
          <w:color w:val="000000"/>
          <w:sz w:val="24"/>
        </w:rPr>
        <w:t>4. Sintesis dan Research Gap</w:t>
      </w:r>
    </w:p>
    <w:p/>
    <w:p>
      <w:pPr>
        <w:spacing w:line="360" w:lineRule="auto" w:before="0" w:after="0"/>
        <w:jc w:val="both"/>
      </w:pPr>
      <w:r>
        <w:rPr>
          <w:rFonts w:ascii="Times New Roman" w:hAnsi="Times New Roman"/>
          <w:b w:val="0"/>
          <w:color w:val="000000"/>
          <w:sz w:val="24"/>
        </w:rPr>
        <w:t>4.1 Sintesis per Dimensi</w:t>
      </w:r>
    </w:p>
    <w:p/>
    <w:p>
      <w:pPr>
        <w:spacing w:line="360" w:lineRule="auto" w:before="0" w:after="0"/>
        <w:jc w:val="both"/>
      </w:pPr>
      <w:r>
        <w:rPr>
          <w:rFonts w:ascii="Times New Roman" w:hAnsi="Times New Roman"/>
          <w:b w:val="0"/>
          <w:color w:val="000000"/>
          <w:sz w:val="24"/>
        </w:rPr>
        <w:t>- D1 Data/Sensor: Literatur RUL umumnya memakai data multi-sensor deret waktu (vibrasi, suhu, tekanan, arus). Pada domain membran/RO, sinyal kunci adalah beda tekanan transmembran (TMP/delta-P), laju alir permeate, konduktivitas/TDS, suhu umpan, dan pH. Artinya, sensor yang dibutuhkan tesis ini sudah mapan di literatur. (87/101 artikel)</w:t>
      </w:r>
    </w:p>
    <w:p/>
    <w:p>
      <w:pPr>
        <w:spacing w:line="360" w:lineRule="auto" w:before="0" w:after="0"/>
        <w:jc w:val="both"/>
      </w:pPr>
      <w:r>
        <w:rPr>
          <w:rFonts w:ascii="Times New Roman" w:hAnsi="Times New Roman"/>
          <w:b w:val="0"/>
          <w:color w:val="000000"/>
          <w:sz w:val="24"/>
        </w:rPr>
        <w:t>- D2 Target/Failure: Definisi target terbelah dua: (a) sebagian studi memakai kegagalan fisik (data run-to-failure seperti C-MAPSS/bearing), (b) sebagian mendefinisikan target sebagai ambang performa/health index (soft failure). Untuk membran yang jarang dibiarkan rusak total, pendekatan (b) lebih relevan dan lebih realistis. (83/101 artikel)</w:t>
      </w:r>
    </w:p>
    <w:p/>
    <w:p>
      <w:pPr>
        <w:spacing w:line="360" w:lineRule="auto" w:before="0" w:after="0"/>
        <w:jc w:val="both"/>
      </w:pPr>
      <w:r>
        <w:rPr>
          <w:rFonts w:ascii="Times New Roman" w:hAnsi="Times New Roman"/>
          <w:b w:val="0"/>
          <w:color w:val="000000"/>
          <w:sz w:val="24"/>
        </w:rPr>
        <w:t>- D3 Censoring: Kelompok survival analysis dan sejumlah metode deep learning modern secara eksplisit menangani data tersensor. Namun mayoritas metode DL untuk RUL masih mengabaikan censoring dan dilatih hanya pada data lengkap, sehingga bias. Ini celah metodologis utama. (28/101 artikel)</w:t>
      </w:r>
    </w:p>
    <w:p/>
    <w:p>
      <w:pPr>
        <w:spacing w:line="360" w:lineRule="auto" w:before="0" w:after="0"/>
        <w:jc w:val="both"/>
      </w:pPr>
      <w:r>
        <w:rPr>
          <w:rFonts w:ascii="Times New Roman" w:hAnsi="Times New Roman"/>
          <w:b w:val="0"/>
          <w:color w:val="000000"/>
          <w:sz w:val="24"/>
        </w:rPr>
        <w:t>- D4 Arsitektur Model: Arsitektur didominasi LSTM, CNN-LSTM, dan Transformer untuk deret waktu, serta Bayesian Neural Network untuk probabilistik; pendekatan survival klasik (Cox, Weibull/AFT) tetap dipakai untuk pemodelan waktu-ke-kejadian. (90/101 artikel)</w:t>
      </w:r>
    </w:p>
    <w:p/>
    <w:p>
      <w:pPr>
        <w:spacing w:line="360" w:lineRule="auto" w:before="0" w:after="0"/>
        <w:jc w:val="both"/>
      </w:pPr>
      <w:r>
        <w:rPr>
          <w:rFonts w:ascii="Times New Roman" w:hAnsi="Times New Roman"/>
          <w:b w:val="0"/>
          <w:color w:val="000000"/>
          <w:sz w:val="24"/>
        </w:rPr>
        <w:t>- D5 Ketidakpastian: Model probabilistik/Bayesian menyediakan kuantifikasi ketidakpastian (interval prediksi), sedangkan model deterministik umumnya hanya mengeluarkan satu angka RUL. Untuk keputusan perawatan, ketidakpastian penting. (50/101 artikel)</w:t>
      </w:r>
    </w:p>
    <w:p/>
    <w:p>
      <w:pPr>
        <w:spacing w:line="360" w:lineRule="auto" w:before="0" w:after="0"/>
        <w:jc w:val="both"/>
      </w:pPr>
      <w:r>
        <w:rPr>
          <w:rFonts w:ascii="Times New Roman" w:hAnsi="Times New Roman"/>
          <w:b w:val="0"/>
          <w:color w:val="000000"/>
          <w:sz w:val="24"/>
        </w:rPr>
        <w:t>- D6 Keputusan/DSS: Hanya sebagian kecil studi menghubungkan prediksi RUL ke keputusan perawatan (penjadwalan, biaya). Justru di sinilah kontribusi Sistem Informasi (DSS/CMMS) berada. (33/101 artikel)</w:t>
      </w:r>
    </w:p>
    <w:p/>
    <w:p>
      <w:pPr>
        <w:spacing w:line="360" w:lineRule="auto" w:before="0" w:after="0"/>
        <w:jc w:val="both"/>
      </w:pPr>
      <w:r>
        <w:rPr>
          <w:rFonts w:ascii="Times New Roman" w:hAnsi="Times New Roman"/>
          <w:b w:val="0"/>
          <w:color w:val="000000"/>
          <w:sz w:val="24"/>
        </w:rPr>
        <w:t>- D7 Domain RO/Membran: Domain membran/RO/desalinasi jauh lebih sedikit dibanding mesin/bearing/baterai. Prediksi RUL membran masih tipis; sebagian besar berupa prediksi fouling atau performa, bukan RUL dengan survival analysis. (24/101 artikel)</w:t>
      </w:r>
    </w:p>
    <w:p/>
    <w:p>
      <w:pPr>
        <w:spacing w:line="360" w:lineRule="auto" w:before="0" w:after="0"/>
        <w:jc w:val="both"/>
      </w:pPr>
      <w:r>
        <w:rPr>
          <w:rFonts w:ascii="Times New Roman" w:hAnsi="Times New Roman"/>
          <w:b w:val="0"/>
          <w:color w:val="000000"/>
          <w:sz w:val="24"/>
        </w:rPr>
        <w:t>- D8 Skala Data: Sangat sedikit studi yang secara khusus menangani data kecil (small-data), few-shot, transfer learning, atau kondisi tanpa kegagalan; mayoritas berasumsi armada besar dengan banyak kegagalan teramati. (38/101 artikel)</w:t>
      </w:r>
    </w:p>
    <w:p/>
    <w:p>
      <w:pPr>
        <w:spacing w:line="360" w:lineRule="auto" w:before="0" w:after="0"/>
        <w:jc w:val="both"/>
      </w:pPr>
      <w:r>
        <w:rPr>
          <w:rFonts w:ascii="Times New Roman" w:hAnsi="Times New Roman"/>
          <w:b w:val="0"/>
          <w:color w:val="000000"/>
          <w:sz w:val="24"/>
        </w:rPr>
        <w:t>4.2 Research Gap</w:t>
      </w:r>
    </w:p>
    <w:p/>
    <w:p>
      <w:pPr>
        <w:spacing w:line="360" w:lineRule="auto" w:before="0" w:after="0"/>
        <w:jc w:val="both"/>
      </w:pPr>
      <w:r>
        <w:rPr>
          <w:rFonts w:ascii="Times New Roman" w:hAnsi="Times New Roman"/>
          <w:b w:val="0"/>
          <w:color w:val="000000"/>
          <w:sz w:val="24"/>
        </w:rPr>
        <w:t>Dari 101 artikel yang diekstraksi, tidak satu pun secara simultan menggabungkan: (1) prediksi RUL membran reverse osmosis dengan survival analysis yang sadar-censoring; (2) kondisi data tanpa kegagalan (penggantian preventif sebelum rusak) sehingga censoring mendominasi; (3) skala data kecil pada satu plant pilot; dan (4) integrasi hasilnya ke dalam sistem pendukung keputusan perawatan. Kombinasi inilah yang menjadi kontribusi tesis.</w:t>
      </w:r>
    </w:p>
    <w:p/>
    <w:p>
      <w:pPr>
        <w:spacing w:line="360" w:lineRule="auto" w:before="0" w:after="0"/>
        <w:jc w:val="both"/>
      </w:pPr>
      <w:r>
        <w:rPr>
          <w:rFonts w:ascii="Times New Roman" w:hAnsi="Times New Roman"/>
          <w:b w:val="0"/>
          <w:color w:val="000000"/>
          <w:sz w:val="24"/>
        </w:rPr>
        <w:t>5. Diskusi</w:t>
      </w:r>
    </w:p>
    <w:p/>
    <w:p>
      <w:pPr>
        <w:spacing w:line="360" w:lineRule="auto" w:before="0" w:after="0"/>
        <w:jc w:val="both"/>
      </w:pPr>
      <w:r>
        <w:rPr>
          <w:rFonts w:ascii="Times New Roman" w:hAnsi="Times New Roman"/>
          <w:b w:val="0"/>
          <w:color w:val="000000"/>
          <w:sz w:val="24"/>
        </w:rPr>
        <w:t>5.1 Implikasi</w:t>
      </w:r>
    </w:p>
    <w:p/>
    <w:p>
      <w:pPr>
        <w:spacing w:line="360" w:lineRule="auto" w:before="0" w:after="0"/>
        <w:jc w:val="both"/>
      </w:pPr>
      <w:r>
        <w:rPr>
          <w:rFonts w:ascii="Times New Roman" w:hAnsi="Times New Roman"/>
          <w:b w:val="0"/>
          <w:color w:val="000000"/>
          <w:sz w:val="24"/>
        </w:rPr>
        <w:t>Peta literatur menunjukkan bahwa metode sadar-censoring untuk RUL sudah tersedia, tetapi aplikasinya pada membran RO sangat terbatas, dan asumsi armada besar (banyak kegagalan teramati) tidak selalu berlaku di plant pilot kecil. Oleh karena itu, kontribusi yang paling dapat dipertahankan bukan sekadar "menerapkan metode X ke domain Y", melainkan menangani rezim data yang justru dihindari literatur: censoring mendominasi dan jumlah kegagalan mendekati nol.</w:t>
      </w:r>
    </w:p>
    <w:p/>
    <w:p>
      <w:pPr>
        <w:spacing w:line="360" w:lineRule="auto" w:before="0" w:after="0"/>
        <w:jc w:val="both"/>
      </w:pPr>
      <w:r>
        <w:rPr>
          <w:rFonts w:ascii="Times New Roman" w:hAnsi="Times New Roman"/>
          <w:b w:val="0"/>
          <w:color w:val="000000"/>
          <w:sz w:val="24"/>
        </w:rPr>
        <w:t>5.2 Agenda Riset</w:t>
      </w:r>
    </w:p>
    <w:p/>
    <w:p>
      <w:pPr>
        <w:spacing w:line="360" w:lineRule="auto" w:before="0" w:after="0"/>
        <w:jc w:val="both"/>
      </w:pPr>
      <w:r>
        <w:rPr>
          <w:rFonts w:ascii="Times New Roman" w:hAnsi="Times New Roman"/>
          <w:b w:val="0"/>
          <w:color w:val="000000"/>
          <w:sz w:val="24"/>
        </w:rPr>
        <w:t>Agenda riset ke depan mencakup: (1) definisi endpoint proxy (soft failure) yang standar untuk membran RO; (2) metode identifikasi parameter survival yang jujur pada data all-censored (prior informatif, shape dikunci); (3) integrasi hasil RUL ke DSS perawatan berbasis biaya; dan (4) validasi lintas-plant pada armada replikasi.</w:t>
      </w:r>
    </w:p>
    <w:p/>
    <w:p>
      <w:pPr>
        <w:spacing w:line="360" w:lineRule="auto" w:before="0" w:after="0"/>
        <w:jc w:val="both"/>
      </w:pPr>
      <w:r>
        <w:rPr>
          <w:rFonts w:ascii="Times New Roman" w:hAnsi="Times New Roman"/>
          <w:b w:val="0"/>
          <w:color w:val="000000"/>
          <w:sz w:val="24"/>
        </w:rPr>
        <w:t>5.3 Ancaman Validitas</w:t>
      </w:r>
    </w:p>
    <w:p/>
    <w:p>
      <w:pPr>
        <w:spacing w:line="360" w:lineRule="auto" w:before="0" w:after="0"/>
        <w:jc w:val="both"/>
      </w:pPr>
      <w:r>
        <w:rPr>
          <w:rFonts w:ascii="Times New Roman" w:hAnsi="Times New Roman"/>
          <w:b w:val="0"/>
          <w:color w:val="000000"/>
          <w:sz w:val="24"/>
        </w:rPr>
        <w:t>Sebagian besar metode dievaluasi pada dataset benchmark mesin (C-MAPSS/bearing) dengan censoring disimulasi; transfer ke membran nyata belum teruji. Klasifikasi indeks Scopus pada korpus perlu diverifikasi pada laman resmi. Abstrak sebagai dasar ringkasan menimbulkan keterbatasan detail.</w:t>
      </w:r>
    </w:p>
    <w:p/>
    <w:p>
      <w:pPr>
        <w:spacing w:line="360" w:lineRule="auto" w:before="0" w:after="0"/>
        <w:jc w:val="both"/>
      </w:pPr>
      <w:r>
        <w:rPr>
          <w:rFonts w:ascii="Times New Roman" w:hAnsi="Times New Roman"/>
          <w:b w:val="0"/>
          <w:color w:val="000000"/>
          <w:sz w:val="24"/>
        </w:rPr>
        <w:t>6. Kesimpulan</w:t>
      </w:r>
    </w:p>
    <w:p/>
    <w:p>
      <w:pPr>
        <w:spacing w:line="360" w:lineRule="auto" w:before="0" w:after="0"/>
        <w:jc w:val="both"/>
      </w:pPr>
      <w:r>
        <w:rPr>
          <w:rFonts w:ascii="Times New Roman" w:hAnsi="Times New Roman"/>
          <w:b w:val="0"/>
          <w:color w:val="000000"/>
          <w:sz w:val="24"/>
        </w:rPr>
        <w:t>SLR ini menegaskan adanya celah nyata: belum ada studi yang menggabungkan prediksi RUL membran RO berbasis survival analysis sadar-censoring, kondisi data tanpa kegagalan, skala data kecil, dan integrasi DSS perawatan. Celah ini menjadi dasar penelitian tesis yang diusulkan.</w:t>
      </w:r>
    </w:p>
    <w:p/>
    <w:p>
      <w:pPr>
        <w:spacing w:line="360" w:lineRule="auto" w:before="0" w:after="0"/>
        <w:jc w:val="both"/>
      </w:pPr>
      <w:r>
        <w:rPr>
          <w:rFonts w:ascii="Times New Roman" w:hAnsi="Times New Roman"/>
          <w:b w:val="0"/>
          <w:color w:val="000000"/>
          <w:sz w:val="24"/>
        </w:rPr>
        <w:t>Daftar Pustaka (terpilih)</w:t>
      </w:r>
    </w:p>
    <w:p/>
    <w:p>
      <w:pPr>
        <w:spacing w:line="360" w:lineRule="auto" w:before="0" w:after="0"/>
        <w:jc w:val="both"/>
      </w:pPr>
      <w:r>
        <w:rPr>
          <w:rFonts w:ascii="Times New Roman" w:hAnsi="Times New Roman"/>
          <w:b w:val="0"/>
          <w:color w:val="000000"/>
          <w:sz w:val="24"/>
        </w:rPr>
        <w:t>1. Gao, Y., Li, S., Wang, D., Mao, J., &amp; Ouyang, L. (2025). A Neural Network-Based Survival Analysis Model Considering Censored Data for Failure Prediction. IEEE Transactions on Automation Science and Engineering. DOI 10.1109/TASE.2025.3640217.</w:t>
      </w:r>
    </w:p>
    <w:p/>
    <w:p>
      <w:pPr>
        <w:spacing w:line="360" w:lineRule="auto" w:before="0" w:after="0"/>
        <w:jc w:val="both"/>
      </w:pPr>
      <w:r>
        <w:rPr>
          <w:rFonts w:ascii="Times New Roman" w:hAnsi="Times New Roman"/>
          <w:b w:val="0"/>
          <w:color w:val="000000"/>
          <w:sz w:val="24"/>
        </w:rPr>
        <w:t>2. Alshraideh, H., Al Ali, F., Awad, M., &amp; Al-Othman, A. (2026). AI-based remaining useful life prediction of seawater desalination membranes. Chemical Engineering Journal Advances, 26, 101217. DOI 10.1016/j.ceja.2026.101217.</w:t>
      </w:r>
    </w:p>
    <w:p/>
    <w:p>
      <w:pPr>
        <w:spacing w:line="360" w:lineRule="auto" w:before="0" w:after="0"/>
        <w:jc w:val="both"/>
      </w:pPr>
      <w:r>
        <w:rPr>
          <w:rFonts w:ascii="Times New Roman" w:hAnsi="Times New Roman"/>
          <w:b w:val="0"/>
          <w:color w:val="000000"/>
          <w:sz w:val="24"/>
        </w:rPr>
        <w:t>3. Noot, J.-P., Martin, M., &amp; Birmelé, E. (2025). LSTM and Transformers based methods for Remaining Useful Life Prediction considering Censored Data. International Journal of Prognostics and Health Management, 16(2). DOI 10.36001/ijphm.2025.v16i2.4260.</w:t>
      </w:r>
    </w:p>
    <w:p/>
    <w:p>
      <w:pPr>
        <w:spacing w:line="360" w:lineRule="auto" w:before="0" w:after="0"/>
        <w:jc w:val="both"/>
      </w:pPr>
      <w:r>
        <w:rPr>
          <w:rFonts w:ascii="Times New Roman" w:hAnsi="Times New Roman"/>
          <w:b w:val="0"/>
          <w:color w:val="000000"/>
          <w:sz w:val="24"/>
        </w:rPr>
        <w:t>4. Si, X.-S., Wang, W., Hu, C.-H., &amp; Zhou, D.-H. (2011). Remaining Useful Life Estimation - A Review on the Statistical Data Driven Approaches. European Journal of Operational Research, 213(1), 1-14.</w:t>
      </w:r>
    </w:p>
    <w:p/>
    <w:p>
      <w:pPr>
        <w:spacing w:line="360" w:lineRule="auto" w:before="0" w:after="0"/>
        <w:jc w:val="both"/>
      </w:pPr>
      <w:r>
        <w:rPr>
          <w:rFonts w:ascii="Times New Roman" w:hAnsi="Times New Roman"/>
          <w:b w:val="0"/>
          <w:color w:val="000000"/>
          <w:sz w:val="24"/>
        </w:rPr>
        <w:t>5. Kitchenham, B., &amp; Charters, S. (2007). Guidelines for Performing Systematic Literature Reviews in Software Engineering. EBSE Technical Report.</w:t>
      </w:r>
    </w:p>
    <w:p/>
    <w:p>
      <w:pPr>
        <w:spacing w:line="360" w:lineRule="auto" w:before="0" w:after="0"/>
        <w:jc w:val="both"/>
      </w:pPr>
      <w:r>
        <w:rPr>
          <w:rFonts w:ascii="Times New Roman" w:hAnsi="Times New Roman"/>
          <w:b w:val="0"/>
          <w:color w:val="000000"/>
          <w:sz w:val="24"/>
        </w:rPr>
        <w:t>6. Page, M. J., dkk. (2021). The PRISMA 2020 statement. BMJ, 372, n71.</w:t>
      </w:r>
    </w:p>
    <w:p/>
    <w:p>
      <w:pPr>
        <w:spacing w:line="360" w:lineRule="auto" w:before="0" w:after="0"/>
        <w:jc w:val="both"/>
      </w:pPr>
      <w:r>
        <w:rPr>
          <w:rFonts w:ascii="Times New Roman" w:hAnsi="Times New Roman"/>
          <w:b w:val="0"/>
          <w:color w:val="000000"/>
          <w:sz w:val="24"/>
        </w:rPr>
        <w:t>7. Webster, J., &amp; Watson, R. T. (2002). Analyzing the Past to Prepare for the Future: Writing a Literature Review. MIS Quarterly, 26(2), xiii-xxiii.</w:t>
      </w:r>
    </w:p>
    <w:p/>
    <w:p>
      <w:pPr>
        <w:spacing w:line="360" w:lineRule="auto" w:before="0" w:after="0"/>
        <w:jc w:val="both"/>
      </w:pPr>
      <w:r>
        <w:rPr>
          <w:rFonts w:ascii="Times New Roman" w:hAnsi="Times New Roman"/>
          <w:b w:val="0"/>
          <w:color w:val="000000"/>
          <w:sz w:val="24"/>
        </w:rPr>
        <w:t>8. Wohlin, C. (2014). Guidelines for Snowballing in Systematic Literature Studies. EASE '14.</w:t>
      </w:r>
    </w:p>
    <w:p/>
    <w:p>
      <w:pPr>
        <w:spacing w:line="360" w:lineRule="auto" w:before="0" w:after="0"/>
        <w:jc w:val="both"/>
      </w:pPr>
      <w:r>
        <w:rPr>
          <w:rFonts w:ascii="Times New Roman" w:hAnsi="Times New Roman"/>
          <w:b w:val="0"/>
          <w:color w:val="000000"/>
          <w:sz w:val="24"/>
        </w:rPr>
        <w:t>9. Drent, C., Kapodistria, S., &amp; Boxma, O. J. (2020). Censored lifetime learning: Optimal Bayesian age-replacement policies. Operations Research Letters, 48(6), 827-834.</w:t>
      </w:r>
    </w:p>
    <w:p/>
    <w:p>
      <w:pPr>
        <w:spacing w:line="360" w:lineRule="auto" w:before="0" w:after="0"/>
        <w:jc w:val="both"/>
      </w:pPr>
      <w:r>
        <w:rPr>
          <w:rFonts w:ascii="Times New Roman" w:hAnsi="Times New Roman"/>
          <w:b w:val="0"/>
          <w:color w:val="000000"/>
          <w:sz w:val="24"/>
        </w:rPr>
        <w:t>10. Li, C.-S., Taylor, J. M. G., &amp; Sy, J. P. (2001). Identifiability of cure models. Statistics &amp; Probability Letters, 54(4), 389-395.</w:t>
      </w:r>
    </w:p>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