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b/>
          <w:color w:val="000000"/>
          <w:sz w:val="24"/>
        </w:rPr>
        <w:t>Systematic Literature Review (SLR): Prediksi Remaining Useful Life (RUL) Membran Reverse Osmosis Berbasis Survival Analysis dan Deep Learning</w:t>
      </w:r>
    </w:p>
    <w:p>
      <w:pPr>
        <w:spacing w:line="360" w:lineRule="auto" w:before="0" w:after="120"/>
        <w:jc w:val="both"/>
      </w:pPr>
      <w:r>
        <w:rPr>
          <w:rFonts w:ascii="Times New Roman" w:hAnsi="Times New Roman"/>
          <w:b/>
          <w:color w:val="000000"/>
          <w:sz w:val="24"/>
        </w:rPr>
        <w:t>Abstrak</w:t>
      </w:r>
    </w:p>
    <w:p>
      <w:pPr>
        <w:spacing w:line="360" w:lineRule="auto" w:before="0" w:after="120"/>
        <w:jc w:val="both"/>
      </w:pPr>
      <w:r>
        <w:rPr>
          <w:rFonts w:ascii="Times New Roman" w:hAnsi="Times New Roman"/>
          <w:b w:val="0"/>
          <w:color w:val="000000"/>
          <w:sz w:val="24"/>
        </w:rPr>
        <w:t>Tinjauan literatur sistematis ini memetakan metode prediksi sisa usia pakai (Remaining Useful Life, RUL) berbasis survival analysis dan deep learning, dengan perhatian khusus pada penanganan data tersensor (right-censored) dan keterbatasan data (small-data), serta penerapannya pada domain membran reverse osmosis (RO). Kajian mengikuti panduan Kitchenham dan Charters, pelaporan PRISMA 2020, sintesis concept-centric Webster dan Watson, serta snowballing Wohlin. Pencarian pada OpenAlex (16 query) mengidentifikasi 694 rekaman, yang setelah penyaringan menghasilkan 101 artikel yang dinilai kelayakannya, dengan 79 artikel lolos sebagai korpus sintesis. Dari korpus tersebut, 46 artikel tergolong Inti (31 Inti-Metode, 13 Inti-Domain, 2 Inti-Metode+Domain) dan 19 artikel ditetapkan sebagai core paper. Temuan utama: dimensi censoring (D3) dibahas 28 artikel, domain RO (D7) hanya 2 artikel, tetapi irisan keduanya nol artikel. Artinya, belum ada studi yang menangani data tersensor pada domain membran RO. Celah inilah yang menjadi dasar penelitian tesis.</w:t>
      </w:r>
    </w:p>
    <w:p>
      <w:pPr>
        <w:spacing w:line="360" w:lineRule="auto" w:before="0" w:after="120"/>
        <w:jc w:val="both"/>
      </w:pPr>
      <w:r>
        <w:rPr>
          <w:rFonts w:ascii="Times New Roman" w:hAnsi="Times New Roman"/>
          <w:b/>
          <w:color w:val="000000"/>
          <w:sz w:val="24"/>
        </w:rPr>
        <w:t>1. Pendahuluan</w:t>
      </w:r>
    </w:p>
    <w:p>
      <w:pPr>
        <w:spacing w:line="360" w:lineRule="auto" w:before="0" w:after="120"/>
        <w:jc w:val="both"/>
      </w:pPr>
      <w:r>
        <w:rPr>
          <w:rFonts w:ascii="Times New Roman" w:hAnsi="Times New Roman"/>
          <w:b/>
          <w:color w:val="000000"/>
          <w:sz w:val="24"/>
        </w:rPr>
        <w:t>1.1 Latar belakang dan urgensi</w:t>
      </w:r>
    </w:p>
    <w:p>
      <w:pPr>
        <w:spacing w:line="360" w:lineRule="auto" w:before="0" w:after="120"/>
        <w:jc w:val="both"/>
      </w:pPr>
      <w:r>
        <w:rPr>
          <w:rFonts w:ascii="Times New Roman" w:hAnsi="Times New Roman"/>
          <w:b w:val="0"/>
          <w:color w:val="000000"/>
          <w:sz w:val="24"/>
        </w:rPr>
        <w:t>Membran reverse osmosis (RO) merupakan komponen inti pada instalasi desalinasi air payau maupun air laut. Kinerjanya menurun seiring waktu karena fouling, scaling, dan degradasi kimia, sehingga memerlukan perawatan berkala berupa Clean-in-Place (CIP) atau penggantian elemen membran. Keputusan yang terlambat menimbulkan penurunan kualitas permeat dan konsumsi energi yang membengkak, sedangkan penggantian yang terlalu dini membuang sisa umur pakai yang masih tersedia. Karena itu, prediksi RUL yang akurat memiliki nilai ekonomi dan operasional yang tinggi.</w:t>
      </w:r>
    </w:p>
    <w:p>
      <w:pPr>
        <w:spacing w:line="360" w:lineRule="auto" w:before="0" w:after="120"/>
        <w:jc w:val="both"/>
      </w:pPr>
      <w:r>
        <w:rPr>
          <w:rFonts w:ascii="Times New Roman" w:hAnsi="Times New Roman"/>
          <w:b w:val="0"/>
          <w:color w:val="000000"/>
          <w:sz w:val="24"/>
        </w:rPr>
        <w:t>Persoalan mendasar muncul dari sifat data lapangan. Perawatan membran hampir selalu dilakukan secara preventif, yaitu sebelum terjadi kegagalan fisik total. Akibatnya, basis data pemantauan didominasi data tersensor kanan (right-censored): pengamatan berhenti karena penggantian preventif atau berakhirnya periode studi, tanpa pernah merekam waktu kegagalan sebenarnya. Metode prediksi RUL konvensional yang hanya belajar dari data run-to-failure membuang observasi tersensor ini dan karenanya menghasilkan estimasi yang bias (Gao dkk., 2025). Survival analysis menawarkan kerangka waktu-ke-kejadian yang secara eksplisit memanfaatkan data tersensor, sedangkan deep learning menawarkan kapasitas menangkap pola multi-sensor yang kompleks (Si dkk., 2011; Noot dkk., 2025).</w:t>
      </w:r>
    </w:p>
    <w:p>
      <w:pPr>
        <w:spacing w:line="360" w:lineRule="auto" w:before="0" w:after="120"/>
        <w:jc w:val="both"/>
      </w:pPr>
      <w:r>
        <w:rPr>
          <w:rFonts w:ascii="Times New Roman" w:hAnsi="Times New Roman"/>
          <w:b w:val="0"/>
          <w:color w:val="000000"/>
          <w:sz w:val="24"/>
        </w:rPr>
        <w:t>Urgensi tinjauan ini muncul dari tiga ketegangan. Pertama, metode survival analysis dan deep learning sudah mapan untuk mesin berarmada besar seperti turbin, bearing, dan baterai, tetapi belum banyak diadopsi untuk membran RO. Kedua, di lapangan data membran justru berukuran kecil dan hampir tanpa kegagalan teramati, kondisi yang belum banyak diuji literatur. Ketiga, pemanfaatan hasil prediksi RUL untuk keputusan perawatan berbasis Sistem Pendukung Keputusan (DSS) belum menjadi fokus utama.</w:t>
      </w:r>
    </w:p>
    <w:p>
      <w:pPr>
        <w:spacing w:line="360" w:lineRule="auto" w:before="0" w:after="120"/>
        <w:jc w:val="both"/>
      </w:pPr>
      <w:r>
        <w:rPr>
          <w:rFonts w:ascii="Times New Roman" w:hAnsi="Times New Roman"/>
          <w:b/>
          <w:color w:val="000000"/>
          <w:sz w:val="24"/>
        </w:rPr>
        <w:t>1.2 Rumusan masalah dan pertanyaan riset</w:t>
      </w:r>
    </w:p>
    <w:p>
      <w:pPr>
        <w:spacing w:line="360" w:lineRule="auto" w:before="0" w:after="120"/>
        <w:jc w:val="both"/>
      </w:pPr>
      <w:r>
        <w:rPr>
          <w:rFonts w:ascii="Times New Roman" w:hAnsi="Times New Roman"/>
          <w:b w:val="0"/>
          <w:color w:val="000000"/>
          <w:sz w:val="24"/>
        </w:rPr>
        <w:t>Berdasarkan latar belakang tersebut, permasalahan penelitian dirumuskan sebagai berikut.</w:t>
      </w:r>
    </w:p>
    <w:p>
      <w:pPr>
        <w:pStyle w:val="ListBullet"/>
        <w:spacing w:before="0" w:after="60"/>
      </w:pPr>
      <w:r>
        <w:rPr>
          <w:rFonts w:ascii="Times New Roman" w:hAnsi="Times New Roman"/>
          <w:color w:val="000000"/>
          <w:sz w:val="24"/>
        </w:rPr>
        <w:t>RQ1: Bagaimana metode survival analysis menangani data tersensor pada prediksi RUL?</w:t>
      </w:r>
    </w:p>
    <w:p>
      <w:pPr>
        <w:pStyle w:val="ListBullet"/>
        <w:spacing w:before="0" w:after="60"/>
      </w:pPr>
      <w:r>
        <w:rPr>
          <w:rFonts w:ascii="Times New Roman" w:hAnsi="Times New Roman"/>
          <w:color w:val="000000"/>
          <w:sz w:val="24"/>
        </w:rPr>
        <w:t>RQ2: Bagaimana deep learning (LSTM, Transformer, Bayesian) meningkatkan prediksi RUL dan kuantifikasi ketidakpastian?</w:t>
      </w:r>
    </w:p>
    <w:p>
      <w:pPr>
        <w:pStyle w:val="ListBullet"/>
        <w:spacing w:before="0" w:after="60"/>
      </w:pPr>
      <w:r>
        <w:rPr>
          <w:rFonts w:ascii="Times New Roman" w:hAnsi="Times New Roman"/>
          <w:color w:val="000000"/>
          <w:sz w:val="24"/>
        </w:rPr>
        <w:t>RQ3: Kendala apa yang muncul pada kondisi data kecil (small-data) maupun tanpa kegagalan (all-censored), dan bagaimana solusinya?</w:t>
      </w:r>
    </w:p>
    <w:p>
      <w:pPr>
        <w:pStyle w:val="ListBullet"/>
        <w:spacing w:before="0" w:after="60"/>
      </w:pPr>
      <w:r>
        <w:rPr>
          <w:rFonts w:ascii="Times New Roman" w:hAnsi="Times New Roman"/>
          <w:color w:val="000000"/>
          <w:sz w:val="24"/>
        </w:rPr>
        <w:t>RQ4: Bagaimana hasil prediksi RUL digunakan dalam sistem pendukung keputusan perawatan (DSS/CMMS)?</w:t>
      </w:r>
    </w:p>
    <w:p>
      <w:pPr>
        <w:spacing w:line="360" w:lineRule="auto" w:before="0" w:after="120"/>
        <w:jc w:val="both"/>
      </w:pPr>
      <w:r>
        <w:rPr>
          <w:rFonts w:ascii="Times New Roman" w:hAnsi="Times New Roman"/>
          <w:b/>
          <w:color w:val="000000"/>
          <w:sz w:val="24"/>
        </w:rPr>
        <w:t>1.3 Tujuan dan manfaat</w:t>
      </w:r>
    </w:p>
    <w:p>
      <w:pPr>
        <w:spacing w:line="360" w:lineRule="auto" w:before="0" w:after="120"/>
        <w:jc w:val="both"/>
      </w:pPr>
      <w:r>
        <w:rPr>
          <w:rFonts w:ascii="Times New Roman" w:hAnsi="Times New Roman"/>
          <w:b w:val="0"/>
          <w:color w:val="000000"/>
          <w:sz w:val="24"/>
        </w:rPr>
        <w:t>Tujuan tinjauan ini adalah memetakan bukti metode RUL sadar-censoring, menilai kesiapan metode tersebut untuk domain membran RO, dan merumuskan celah penelitian yang dapat dipertanggungjawabkan. Manfaatnya: secara teoretis menyediakan peta taksonomi dan matriks konsep; secara praktis menjadi dasar perancangan model prediksi RUL membran; secara metodologis memberikan prosedur pemilihan paper inti yang transparan dan dapat direproduksi.</w:t>
      </w:r>
    </w:p>
    <w:p>
      <w:pPr>
        <w:spacing w:line="360" w:lineRule="auto" w:before="0" w:after="120"/>
        <w:jc w:val="both"/>
      </w:pPr>
      <w:r>
        <w:rPr>
          <w:rFonts w:ascii="Times New Roman" w:hAnsi="Times New Roman"/>
          <w:b/>
          <w:color w:val="000000"/>
          <w:sz w:val="24"/>
        </w:rPr>
        <w:t>1.4 Kontribusi</w:t>
      </w:r>
    </w:p>
    <w:p>
      <w:pPr>
        <w:spacing w:line="360" w:lineRule="auto" w:before="0" w:after="120"/>
        <w:jc w:val="both"/>
      </w:pPr>
      <w:r>
        <w:rPr>
          <w:rFonts w:ascii="Times New Roman" w:hAnsi="Times New Roman"/>
          <w:b w:val="0"/>
          <w:color w:val="000000"/>
          <w:sz w:val="24"/>
        </w:rPr>
        <w:t>Kontribusi tinjauan ini ada tiga. Pertama, peta taksonomi metode prediksi RUL dengan fokus censoring dan keterbatasan data. Kedua, matriks konsep yang menunjukkan sebaran dimensi riset pada korpus. Ketiga, perumusan research gap yang menjadi dasar usulan penelitian tesis, yaitu prediksi RUL membran RO berbasis survival analysis sadar-censoring pada rezim data kecil.</w:t>
      </w:r>
    </w:p>
    <w:p>
      <w:pPr>
        <w:spacing w:line="360" w:lineRule="auto" w:before="0" w:after="120"/>
        <w:jc w:val="both"/>
      </w:pPr>
      <w:r>
        <w:rPr>
          <w:rFonts w:ascii="Times New Roman" w:hAnsi="Times New Roman"/>
          <w:b/>
          <w:color w:val="000000"/>
          <w:sz w:val="24"/>
        </w:rPr>
        <w:t>1.5 Ruang lingkup dan batasan</w:t>
      </w:r>
    </w:p>
    <w:p>
      <w:pPr>
        <w:spacing w:line="360" w:lineRule="auto" w:before="0" w:after="120"/>
        <w:jc w:val="both"/>
      </w:pPr>
      <w:r>
        <w:rPr>
          <w:rFonts w:ascii="Times New Roman" w:hAnsi="Times New Roman"/>
          <w:b w:val="0"/>
          <w:color w:val="000000"/>
          <w:sz w:val="24"/>
        </w:rPr>
        <w:t>Tinjauan mencakup artikel jurnal dan prosiding berbahasa Inggris pada rentang 2015 sampai 2026, dengan karya landamark pra-2015 dapat masuk melalui snowballing. Domain utama adalah RUL, prognostik, survival analysis, dan predictive maintenance, dengan penekanan pada keterkaitannya dengan membran RO dan desalinasi. Tinjauan tidak mencakup studi medis/klinis (membran biologis) dan tidak melakukan meta-analisis kuantitatif karena heterogenitas studi.</w:t>
      </w:r>
    </w:p>
    <w:p>
      <w:pPr>
        <w:spacing w:line="360" w:lineRule="auto" w:before="0" w:after="120"/>
        <w:jc w:val="both"/>
      </w:pPr>
      <w:r>
        <w:rPr>
          <w:rFonts w:ascii="Times New Roman" w:hAnsi="Times New Roman"/>
          <w:b/>
          <w:color w:val="000000"/>
          <w:sz w:val="24"/>
        </w:rPr>
        <w:t>2. Metode Tinjauan</w:t>
      </w:r>
    </w:p>
    <w:p>
      <w:pPr>
        <w:spacing w:line="360" w:lineRule="auto" w:before="0" w:after="120"/>
        <w:jc w:val="both"/>
      </w:pPr>
      <w:r>
        <w:rPr>
          <w:rFonts w:ascii="Times New Roman" w:hAnsi="Times New Roman"/>
          <w:b/>
          <w:color w:val="000000"/>
          <w:sz w:val="24"/>
        </w:rPr>
        <w:t>2.1 Protokol dan pedoman</w:t>
      </w:r>
    </w:p>
    <w:p>
      <w:pPr>
        <w:spacing w:line="360" w:lineRule="auto" w:before="0" w:after="120"/>
        <w:jc w:val="both"/>
      </w:pPr>
      <w:r>
        <w:rPr>
          <w:rFonts w:ascii="Times New Roman" w:hAnsi="Times New Roman"/>
          <w:b w:val="0"/>
          <w:color w:val="000000"/>
          <w:sz w:val="24"/>
        </w:rPr>
        <w:t>Protokol disusun sebelum pencarian agar proses dapat diaudit dan direproduksi. Prosedur mengikuti Kitchenham dan Charters (2007), pelaporan alur seleksi mengikuti PRISMA 2020 (Page dkk., 2021), sintesis concept-centric mengikuti Webster dan Watson (2002), dan penelusuran lanjutan mengikuti Wohlin (2014).</w:t>
      </w:r>
    </w:p>
    <w:p>
      <w:pPr>
        <w:spacing w:before="120" w:after="40"/>
        <w:jc w:val="center"/>
      </w:pPr>
      <w:r>
        <w:drawing>
          <wp:inline xmlns:a="http://schemas.openxmlformats.org/drawingml/2006/main" xmlns:pic="http://schemas.openxmlformats.org/drawingml/2006/picture">
            <wp:extent cx="5400000" cy="2938569"/>
            <wp:docPr id="1" name="Picture 1"/>
            <wp:cNvGraphicFramePr>
              <a:graphicFrameLocks noChangeAspect="1"/>
            </wp:cNvGraphicFramePr>
            <a:graphic>
              <a:graphicData uri="http://schemas.openxmlformats.org/drawingml/2006/picture">
                <pic:pic>
                  <pic:nvPicPr>
                    <pic:cNvPr id="0" name="fig02_slr_process.png"/>
                    <pic:cNvPicPr/>
                  </pic:nvPicPr>
                  <pic:blipFill>
                    <a:blip r:embed="rId9"/>
                    <a:stretch>
                      <a:fillRect/>
                    </a:stretch>
                  </pic:blipFill>
                  <pic:spPr>
                    <a:xfrm>
                      <a:off x="0" y="0"/>
                      <a:ext cx="5400000" cy="2938569"/>
                    </a:xfrm>
                    <a:prstGeom prst="rect"/>
                  </pic:spPr>
                </pic:pic>
              </a:graphicData>
            </a:graphic>
          </wp:inline>
        </w:drawing>
      </w:r>
    </w:p>
    <w:p>
      <w:pPr>
        <w:spacing w:after="160"/>
        <w:jc w:val="center"/>
      </w:pPr>
      <w:r>
        <w:rPr>
          <w:rFonts w:ascii="Times New Roman" w:hAnsi="Times New Roman"/>
          <w:i/>
          <w:color w:val="000000"/>
          <w:sz w:val="20"/>
        </w:rPr>
        <w:t>Gambar 1. Alur metode SLR: protokol, pencarian, penyaringan, ekstraksi, sintesis, dan pelaporan</w:t>
      </w:r>
    </w:p>
    <w:p>
      <w:pPr>
        <w:spacing w:line="360" w:lineRule="auto" w:before="0" w:after="120"/>
        <w:jc w:val="both"/>
      </w:pPr>
      <w:r>
        <w:rPr>
          <w:rFonts w:ascii="Times New Roman" w:hAnsi="Times New Roman"/>
          <w:b/>
          <w:color w:val="000000"/>
          <w:sz w:val="24"/>
        </w:rPr>
        <w:t>2.2 PICOC</w:t>
      </w:r>
    </w:p>
    <w:p>
      <w:pPr>
        <w:pStyle w:val="ListBullet"/>
        <w:spacing w:before="0" w:after="60"/>
      </w:pPr>
      <w:r>
        <w:rPr>
          <w:rFonts w:ascii="Times New Roman" w:hAnsi="Times New Roman"/>
          <w:color w:val="000000"/>
          <w:sz w:val="24"/>
        </w:rPr>
        <w:t>Population: sistem membran RO dan mesin industri yang menyelenggarakan prognostik.</w:t>
      </w:r>
    </w:p>
    <w:p>
      <w:pPr>
        <w:pStyle w:val="ListBullet"/>
        <w:spacing w:before="0" w:after="60"/>
      </w:pPr>
      <w:r>
        <w:rPr>
          <w:rFonts w:ascii="Times New Roman" w:hAnsi="Times New Roman"/>
          <w:color w:val="000000"/>
          <w:sz w:val="24"/>
        </w:rPr>
        <w:t>Intervention: metode survival analysis dan deep learning untuk RUL.</w:t>
      </w:r>
    </w:p>
    <w:p>
      <w:pPr>
        <w:pStyle w:val="ListBullet"/>
        <w:spacing w:before="0" w:after="60"/>
      </w:pPr>
      <w:r>
        <w:rPr>
          <w:rFonts w:ascii="Times New Roman" w:hAnsi="Times New Roman"/>
          <w:color w:val="000000"/>
          <w:sz w:val="24"/>
        </w:rPr>
        <w:t>Comparison: metode RUL konvensional berbasis regresi dan data run-to-failure.</w:t>
      </w:r>
    </w:p>
    <w:p>
      <w:pPr>
        <w:pStyle w:val="ListBullet"/>
        <w:spacing w:before="0" w:after="60"/>
      </w:pPr>
      <w:r>
        <w:rPr>
          <w:rFonts w:ascii="Times New Roman" w:hAnsi="Times New Roman"/>
          <w:color w:val="000000"/>
          <w:sz w:val="24"/>
        </w:rPr>
        <w:t>Outcome: akurasi RUL, kualitas kuantifikasi ketidakpastian, dan kelayakan keputusan perawatan.</w:t>
      </w:r>
    </w:p>
    <w:p>
      <w:pPr>
        <w:pStyle w:val="ListBullet"/>
        <w:spacing w:before="0" w:after="60"/>
      </w:pPr>
      <w:r>
        <w:rPr>
          <w:rFonts w:ascii="Times New Roman" w:hAnsi="Times New Roman"/>
          <w:color w:val="000000"/>
          <w:sz w:val="24"/>
        </w:rPr>
        <w:t>Context: plant industri maupun pilot, dengan perhatian pada rezim data tersensor dan skala data kecil.</w:t>
      </w:r>
    </w:p>
    <w:p>
      <w:pPr>
        <w:spacing w:line="360" w:lineRule="auto" w:before="0" w:after="120"/>
        <w:jc w:val="both"/>
      </w:pPr>
      <w:r>
        <w:rPr>
          <w:rFonts w:ascii="Times New Roman" w:hAnsi="Times New Roman"/>
          <w:b/>
          <w:color w:val="000000"/>
          <w:sz w:val="24"/>
        </w:rPr>
        <w:t>2.3 Strategi pencarian</w:t>
      </w:r>
    </w:p>
    <w:p>
      <w:pPr>
        <w:spacing w:line="360" w:lineRule="auto" w:before="0" w:after="120"/>
        <w:jc w:val="both"/>
      </w:pPr>
      <w:r>
        <w:rPr>
          <w:rFonts w:ascii="Times New Roman" w:hAnsi="Times New Roman"/>
          <w:b w:val="0"/>
          <w:color w:val="000000"/>
          <w:sz w:val="24"/>
        </w:rPr>
        <w:t>Pencarian hybrid memadukan pencarian basis data dan snowballing (Wohlin, 2014). Eksekusi korpus ini menggunakan OpenAlex (metadata Crossref) dengan 16 query title+abstract, filter type=article dan has_doi=true, diambil 50 hasil teratas per query. Snowballing backward dan forward diterapkan dari artikel inti. Protokol juga memuat string Scopus untuk replikasi (Lampiran B). Batas recall yang disadari: tanpa paginasi dan tanpa filter tahun di API, sehingga penyaringan tahun dilakukan pada tahap screening.</w:t>
      </w:r>
    </w:p>
    <w:p>
      <w:pPr>
        <w:spacing w:line="360" w:lineRule="auto" w:before="0" w:after="120"/>
        <w:jc w:val="both"/>
      </w:pPr>
      <w:r>
        <w:rPr>
          <w:rFonts w:ascii="Times New Roman" w:hAnsi="Times New Roman"/>
          <w:b/>
          <w:color w:val="000000"/>
          <w:sz w:val="24"/>
        </w:rPr>
        <w:t>2.4 Kriteria inklusi dan eksklusi</w:t>
      </w:r>
    </w:p>
    <w:p>
      <w:pPr>
        <w:spacing w:line="360" w:lineRule="auto" w:before="0" w:after="120"/>
        <w:jc w:val="both"/>
      </w:pPr>
      <w:r>
        <w:rPr>
          <w:rFonts w:ascii="Times New Roman" w:hAnsi="Times New Roman"/>
          <w:b w:val="0"/>
          <w:color w:val="000000"/>
          <w:sz w:val="24"/>
        </w:rPr>
        <w:t>Studi diinklusikan bila merupakan publikasi peer-review yang membahas RUL, prognostik, survival analysis, atau predictive maintenance pada domain membran/air; mendefinisikan target RUL atau kegagalan; atau berkontribusi pada metode sadar-censoring, deep learning RUL, kuantifikasi ketidakpastian, maupun skala data. Studi dieksklusi bila bersifat medis/klinis, tidak memiliki abstrak, tidak relevan secara metodologis, atau berada di luar rentang tahun tanpa alasan snowballing.</w:t>
      </w:r>
    </w:p>
    <w:p>
      <w:pPr>
        <w:spacing w:line="360" w:lineRule="auto" w:before="0" w:after="120"/>
        <w:jc w:val="both"/>
      </w:pPr>
      <w:r>
        <w:rPr>
          <w:rFonts w:ascii="Times New Roman" w:hAnsi="Times New Roman"/>
          <w:b/>
          <w:color w:val="000000"/>
          <w:sz w:val="24"/>
        </w:rPr>
        <w:t>2.5 Seleksi dan PRISMA</w:t>
      </w:r>
    </w:p>
    <w:p>
      <w:pPr>
        <w:spacing w:line="360" w:lineRule="auto" w:before="0" w:after="120"/>
        <w:jc w:val="both"/>
      </w:pPr>
      <w:r>
        <w:rPr>
          <w:rFonts w:ascii="Times New Roman" w:hAnsi="Times New Roman"/>
          <w:b w:val="0"/>
          <w:color w:val="000000"/>
          <w:sz w:val="24"/>
        </w:rPr>
        <w:t>Proses seleksi mengikuti alur identifikasi, penyaringan judul/abstrak, penilaian kelayakan full-record, dan penyertaan akhir. Angka final disajikan pada Bagian 3.1. Seluruh eksklusi dan substitusi dicatat pada lampiran log agar dapat diaudit.</w:t>
      </w:r>
    </w:p>
    <w:p>
      <w:pPr>
        <w:spacing w:line="360" w:lineRule="auto" w:before="0" w:after="120"/>
        <w:jc w:val="both"/>
      </w:pPr>
      <w:r>
        <w:rPr>
          <w:rFonts w:ascii="Times New Roman" w:hAnsi="Times New Roman"/>
          <w:b/>
          <w:color w:val="000000"/>
          <w:sz w:val="24"/>
        </w:rPr>
        <w:t>2.6 Ekstraksi data</w:t>
      </w:r>
    </w:p>
    <w:p>
      <w:pPr>
        <w:spacing w:line="360" w:lineRule="auto" w:before="0" w:after="120"/>
        <w:jc w:val="both"/>
      </w:pPr>
      <w:r>
        <w:rPr>
          <w:rFonts w:ascii="Times New Roman" w:hAnsi="Times New Roman"/>
          <w:b w:val="0"/>
          <w:color w:val="000000"/>
          <w:sz w:val="24"/>
        </w:rPr>
        <w:t>Ekstraksi mengikuti formulir terstruktur: nomor, pilar/tema, judul, penulis, tahun, jurnal, klasifikasi, tautan/DOI, ringkasan temuan, dan kontribusi terhadap research gap. Setiap artikel juga diberi penanda dimensi D1 sampai D8 beserta bukti pendukungnya.</w:t>
      </w:r>
    </w:p>
    <w:p>
      <w:pPr>
        <w:spacing w:line="360" w:lineRule="auto" w:before="0" w:after="120"/>
        <w:jc w:val="both"/>
      </w:pPr>
      <w:r>
        <w:rPr>
          <w:rFonts w:ascii="Times New Roman" w:hAnsi="Times New Roman"/>
          <w:b/>
          <w:color w:val="000000"/>
          <w:sz w:val="24"/>
        </w:rPr>
        <w:t>2.7 Penilaian kualitas</w:t>
      </w:r>
    </w:p>
    <w:p>
      <w:pPr>
        <w:spacing w:line="360" w:lineRule="auto" w:before="0" w:after="120"/>
        <w:jc w:val="both"/>
      </w:pPr>
      <w:r>
        <w:rPr>
          <w:rFonts w:ascii="Times New Roman" w:hAnsi="Times New Roman"/>
          <w:b w:val="0"/>
          <w:color w:val="000000"/>
          <w:sz w:val="24"/>
        </w:rPr>
        <w:t>Setiap studi dinilai dengan checklist sepuluh butir (kejelasan RQ, validitas data, reproduksibilitas metode, kecukupan evaluasi, penanganan censoring, pelaporan ketidakpastian, keterkaitan keputusan, dan seterusnya) dengan skala Ya/Sebagian/Tidak. Skor akhir dinormalisasi ke skala 0 sampai 10.</w:t>
      </w:r>
    </w:p>
    <w:p>
      <w:pPr>
        <w:spacing w:line="360" w:lineRule="auto" w:before="0" w:after="120"/>
        <w:jc w:val="both"/>
      </w:pPr>
      <w:r>
        <w:rPr>
          <w:rFonts w:ascii="Times New Roman" w:hAnsi="Times New Roman"/>
          <w:b/>
          <w:color w:val="000000"/>
          <w:sz w:val="24"/>
        </w:rPr>
        <w:t>2.8 Sintesis</w:t>
      </w:r>
    </w:p>
    <w:p>
      <w:pPr>
        <w:spacing w:line="360" w:lineRule="auto" w:before="0" w:after="120"/>
        <w:jc w:val="both"/>
      </w:pPr>
      <w:r>
        <w:rPr>
          <w:rFonts w:ascii="Times New Roman" w:hAnsi="Times New Roman"/>
          <w:b w:val="0"/>
          <w:color w:val="000000"/>
          <w:sz w:val="24"/>
        </w:rPr>
        <w:t>Sintesis dilakukan secara concept-centric menggunakan matriks konsep Webster dan Watson dengan tujuh pilar (A sampai G) dan delapan dimensi konsep (D1 sampai D8). Karena studi heterogen, sintesis bersifat naratif (SWiM-like) dan tidak melakukan pooling efek kuantitatif.</w:t>
      </w:r>
    </w:p>
    <w:p>
      <w:pPr>
        <w:spacing w:line="360" w:lineRule="auto" w:before="0" w:after="120"/>
        <w:jc w:val="both"/>
      </w:pPr>
      <w:r>
        <w:rPr>
          <w:rFonts w:ascii="Times New Roman" w:hAnsi="Times New Roman"/>
          <w:b/>
          <w:color w:val="000000"/>
          <w:sz w:val="24"/>
        </w:rPr>
        <w:t>2.9 Ancaman validitas</w:t>
      </w:r>
    </w:p>
    <w:p>
      <w:pPr>
        <w:spacing w:line="360" w:lineRule="auto" w:before="0" w:after="120"/>
        <w:jc w:val="both"/>
      </w:pPr>
      <w:r>
        <w:rPr>
          <w:rFonts w:ascii="Times New Roman" w:hAnsi="Times New Roman"/>
          <w:b w:val="0"/>
          <w:color w:val="000000"/>
          <w:sz w:val="24"/>
        </w:rPr>
        <w:t>Tiga ancaman validitas dicatat. Pertama, validitas internal: sebagian besar metode dievaluasi pada benchmark mesin dengan censoring disimulasikan, sehingga transfer ke membran nyata belum tentu berlaku. Kedua, validitas konstruk: penentuan pilar dan dimensi bergantung pada penilaian peneliti. Ketiga, validitas eksternal: sebagian ringkasan bersumber dari abstrak, sehingga detail metodologis halus berpotensi tidak tertangkap.</w:t>
      </w:r>
    </w:p>
    <w:p>
      <w:pPr>
        <w:spacing w:line="360" w:lineRule="auto" w:before="0" w:after="120"/>
        <w:jc w:val="both"/>
      </w:pPr>
      <w:r>
        <w:rPr>
          <w:rFonts w:ascii="Times New Roman" w:hAnsi="Times New Roman"/>
          <w:b/>
          <w:color w:val="000000"/>
          <w:sz w:val="24"/>
        </w:rPr>
        <w:t>3. Hasil</w:t>
      </w:r>
    </w:p>
    <w:p>
      <w:pPr>
        <w:spacing w:line="360" w:lineRule="auto" w:before="0" w:after="120"/>
        <w:jc w:val="both"/>
      </w:pPr>
      <w:r>
        <w:rPr>
          <w:rFonts w:ascii="Times New Roman" w:hAnsi="Times New Roman"/>
          <w:b/>
          <w:color w:val="000000"/>
          <w:sz w:val="24"/>
        </w:rPr>
        <w:t>3.1 Alur PRISMA dan korpus final</w:t>
      </w:r>
    </w:p>
    <w:p>
      <w:pPr>
        <w:spacing w:line="360" w:lineRule="auto" w:before="0" w:after="120"/>
        <w:jc w:val="both"/>
      </w:pPr>
      <w:r>
        <w:rPr>
          <w:rFonts w:ascii="Times New Roman" w:hAnsi="Times New Roman"/>
          <w:b w:val="0"/>
          <w:color w:val="000000"/>
          <w:sz w:val="24"/>
        </w:rPr>
        <w:t>Pencarian mengidentifikasi 694 rekaman unik. Sebanyak 209 rekaman tanpa abstrak atau metadata tidak lengkap dikeluarkan sebelum penyaringan, menyisakan 485 rekaman yang disaring pada judul dan abstrak. Dari tahap ini diperoleh 72 artikel yang layak, lalu ditambah 29 artikel dari snowballing dan penggantian Open Access. Seluruh 101 artikel dinilai kelayakannya; 22 artikel dikeluarkan pada tahap eligibilitas (15 topik di luar RUL/prognostik, 6 review, 1 domain) sehingga 79 artikel menjadi korpus sintesis.</w:t>
      </w:r>
    </w:p>
    <w:p>
      <w:pPr>
        <w:spacing w:before="120" w:after="40"/>
        <w:jc w:val="center"/>
      </w:pPr>
      <w:r>
        <w:drawing>
          <wp:inline xmlns:a="http://schemas.openxmlformats.org/drawingml/2006/main" xmlns:pic="http://schemas.openxmlformats.org/drawingml/2006/picture">
            <wp:extent cx="4680000" cy="5987296"/>
            <wp:docPr id="2" name="Picture 2"/>
            <wp:cNvGraphicFramePr>
              <a:graphicFrameLocks noChangeAspect="1"/>
            </wp:cNvGraphicFramePr>
            <a:graphic>
              <a:graphicData uri="http://schemas.openxmlformats.org/drawingml/2006/picture">
                <pic:pic>
                  <pic:nvPicPr>
                    <pic:cNvPr id="0" name="fig01_prisma_flow.png"/>
                    <pic:cNvPicPr/>
                  </pic:nvPicPr>
                  <pic:blipFill>
                    <a:blip r:embed="rId10"/>
                    <a:stretch>
                      <a:fillRect/>
                    </a:stretch>
                  </pic:blipFill>
                  <pic:spPr>
                    <a:xfrm>
                      <a:off x="0" y="0"/>
                      <a:ext cx="4680000" cy="5987296"/>
                    </a:xfrm>
                    <a:prstGeom prst="rect"/>
                  </pic:spPr>
                </pic:pic>
              </a:graphicData>
            </a:graphic>
          </wp:inline>
        </w:drawing>
      </w:r>
    </w:p>
    <w:p>
      <w:pPr>
        <w:spacing w:after="160"/>
        <w:jc w:val="center"/>
      </w:pPr>
      <w:r>
        <w:rPr>
          <w:rFonts w:ascii="Times New Roman" w:hAnsi="Times New Roman"/>
          <w:i/>
          <w:color w:val="000000"/>
          <w:sz w:val="20"/>
        </w:rPr>
        <w:t>Gambar 2. Alur PRISMA 2020 dan komposisi korpus final (n = 79 included)</w:t>
      </w:r>
    </w:p>
    <w:tbl>
      <w:tblPr>
        <w:tblStyle w:val="TableGrid"/>
        <w:tblW w:type="auto" w:w="0"/>
        <w:jc w:val="center"/>
        <w:tblLook w:firstColumn="1" w:firstRow="1" w:lastColumn="0" w:lastRow="0" w:noHBand="0" w:noVBand="1" w:val="04A0"/>
      </w:tblPr>
      <w:tblGrid>
        <w:gridCol w:w="4135"/>
        <w:gridCol w:w="4135"/>
      </w:tblGrid>
      <w:tr>
        <w:tc>
          <w:tcPr>
            <w:tcW w:type="dxa" w:w="4135"/>
          </w:tcPr>
          <w:p>
            <w:r>
              <w:rPr>
                <w:rFonts w:ascii="Times New Roman" w:hAnsi="Times New Roman"/>
                <w:color w:val="000000"/>
                <w:sz w:val="22"/>
              </w:rPr>
              <w:t>Tahap</w:t>
            </w:r>
          </w:p>
        </w:tc>
        <w:tc>
          <w:tcPr>
            <w:tcW w:type="dxa" w:w="4135"/>
          </w:tcPr>
          <w:p>
            <w:r>
              <w:rPr>
                <w:rFonts w:ascii="Times New Roman" w:hAnsi="Times New Roman"/>
                <w:color w:val="000000"/>
                <w:sz w:val="22"/>
              </w:rPr>
              <w:t>Jumlah</w:t>
            </w:r>
          </w:p>
        </w:tc>
      </w:tr>
      <w:tr>
        <w:tc>
          <w:tcPr>
            <w:tcW w:type="dxa" w:w="4135"/>
          </w:tcPr>
          <w:p>
            <w:r>
              <w:rPr>
                <w:rFonts w:ascii="Times New Roman" w:hAnsi="Times New Roman"/>
                <w:color w:val="000000"/>
                <w:sz w:val="22"/>
              </w:rPr>
              <w:t>Identifikasi (record unik)</w:t>
            </w:r>
          </w:p>
        </w:tc>
        <w:tc>
          <w:tcPr>
            <w:tcW w:type="dxa" w:w="4135"/>
          </w:tcPr>
          <w:p>
            <w:r>
              <w:rPr>
                <w:rFonts w:ascii="Times New Roman" w:hAnsi="Times New Roman"/>
                <w:color w:val="000000"/>
                <w:sz w:val="22"/>
              </w:rPr>
              <w:t>694</w:t>
            </w:r>
          </w:p>
        </w:tc>
      </w:tr>
      <w:tr>
        <w:tc>
          <w:tcPr>
            <w:tcW w:type="dxa" w:w="4135"/>
          </w:tcPr>
          <w:p>
            <w:r>
              <w:rPr>
                <w:rFonts w:ascii="Times New Roman" w:hAnsi="Times New Roman"/>
                <w:color w:val="000000"/>
                <w:sz w:val="22"/>
              </w:rPr>
              <w:t>Dihapus sebelum penyaringan (tanpa abstrak/metadata)</w:t>
            </w:r>
          </w:p>
        </w:tc>
        <w:tc>
          <w:tcPr>
            <w:tcW w:type="dxa" w:w="4135"/>
          </w:tcPr>
          <w:p>
            <w:r>
              <w:rPr>
                <w:rFonts w:ascii="Times New Roman" w:hAnsi="Times New Roman"/>
                <w:color w:val="000000"/>
                <w:sz w:val="22"/>
              </w:rPr>
              <w:t>209</w:t>
            </w:r>
          </w:p>
        </w:tc>
      </w:tr>
      <w:tr>
        <w:tc>
          <w:tcPr>
            <w:tcW w:type="dxa" w:w="4135"/>
          </w:tcPr>
          <w:p>
            <w:r>
              <w:rPr>
                <w:rFonts w:ascii="Times New Roman" w:hAnsi="Times New Roman"/>
                <w:color w:val="000000"/>
                <w:sz w:val="22"/>
              </w:rPr>
              <w:t>Disaring judul/abstrak</w:t>
            </w:r>
          </w:p>
        </w:tc>
        <w:tc>
          <w:tcPr>
            <w:tcW w:type="dxa" w:w="4135"/>
          </w:tcPr>
          <w:p>
            <w:r>
              <w:rPr>
                <w:rFonts w:ascii="Times New Roman" w:hAnsi="Times New Roman"/>
                <w:color w:val="000000"/>
                <w:sz w:val="22"/>
              </w:rPr>
              <w:t>485</w:t>
            </w:r>
          </w:p>
        </w:tc>
      </w:tr>
      <w:tr>
        <w:tc>
          <w:tcPr>
            <w:tcW w:type="dxa" w:w="4135"/>
          </w:tcPr>
          <w:p>
            <w:r>
              <w:rPr>
                <w:rFonts w:ascii="Times New Roman" w:hAnsi="Times New Roman"/>
                <w:color w:val="000000"/>
                <w:sz w:val="22"/>
              </w:rPr>
              <w:t>Dikeluarkan pada judul/abstrak</w:t>
            </w:r>
          </w:p>
        </w:tc>
        <w:tc>
          <w:tcPr>
            <w:tcW w:type="dxa" w:w="4135"/>
          </w:tcPr>
          <w:p>
            <w:r>
              <w:rPr>
                <w:rFonts w:ascii="Times New Roman" w:hAnsi="Times New Roman"/>
                <w:color w:val="000000"/>
                <w:sz w:val="22"/>
              </w:rPr>
              <w:t>413</w:t>
            </w:r>
          </w:p>
        </w:tc>
      </w:tr>
      <w:tr>
        <w:tc>
          <w:tcPr>
            <w:tcW w:type="dxa" w:w="4135"/>
          </w:tcPr>
          <w:p>
            <w:r>
              <w:rPr>
                <w:rFonts w:ascii="Times New Roman" w:hAnsi="Times New Roman"/>
                <w:color w:val="000000"/>
                <w:sz w:val="22"/>
              </w:rPr>
              <w:t>Layak dari pencarian basis data</w:t>
            </w:r>
          </w:p>
        </w:tc>
        <w:tc>
          <w:tcPr>
            <w:tcW w:type="dxa" w:w="4135"/>
          </w:tcPr>
          <w:p>
            <w:r>
              <w:rPr>
                <w:rFonts w:ascii="Times New Roman" w:hAnsi="Times New Roman"/>
                <w:color w:val="000000"/>
                <w:sz w:val="22"/>
              </w:rPr>
              <w:t>72</w:t>
            </w:r>
          </w:p>
        </w:tc>
      </w:tr>
      <w:tr>
        <w:tc>
          <w:tcPr>
            <w:tcW w:type="dxa" w:w="4135"/>
          </w:tcPr>
          <w:p>
            <w:r>
              <w:rPr>
                <w:rFonts w:ascii="Times New Roman" w:hAnsi="Times New Roman"/>
                <w:color w:val="000000"/>
                <w:sz w:val="22"/>
              </w:rPr>
              <w:t>Ditambah: snowballing + pengganti OA</w:t>
            </w:r>
          </w:p>
        </w:tc>
        <w:tc>
          <w:tcPr>
            <w:tcW w:type="dxa" w:w="4135"/>
          </w:tcPr>
          <w:p>
            <w:r>
              <w:rPr>
                <w:rFonts w:ascii="Times New Roman" w:hAnsi="Times New Roman"/>
                <w:color w:val="000000"/>
                <w:sz w:val="22"/>
              </w:rPr>
              <w:t>29</w:t>
            </w:r>
          </w:p>
        </w:tc>
      </w:tr>
      <w:tr>
        <w:tc>
          <w:tcPr>
            <w:tcW w:type="dxa" w:w="4135"/>
          </w:tcPr>
          <w:p>
            <w:r>
              <w:rPr>
                <w:rFonts w:ascii="Times New Roman" w:hAnsi="Times New Roman"/>
                <w:color w:val="000000"/>
                <w:sz w:val="22"/>
              </w:rPr>
              <w:t>Dinilai pada full-text</w:t>
            </w:r>
          </w:p>
        </w:tc>
        <w:tc>
          <w:tcPr>
            <w:tcW w:type="dxa" w:w="4135"/>
          </w:tcPr>
          <w:p>
            <w:r>
              <w:rPr>
                <w:rFonts w:ascii="Times New Roman" w:hAnsi="Times New Roman"/>
                <w:color w:val="000000"/>
                <w:sz w:val="22"/>
              </w:rPr>
              <w:t>101</w:t>
            </w:r>
          </w:p>
        </w:tc>
      </w:tr>
      <w:tr>
        <w:tc>
          <w:tcPr>
            <w:tcW w:type="dxa" w:w="4135"/>
          </w:tcPr>
          <w:p>
            <w:r>
              <w:rPr>
                <w:rFonts w:ascii="Times New Roman" w:hAnsi="Times New Roman"/>
                <w:color w:val="000000"/>
                <w:sz w:val="22"/>
              </w:rPr>
              <w:t>Dikeluarkan pada full-text</w:t>
            </w:r>
          </w:p>
        </w:tc>
        <w:tc>
          <w:tcPr>
            <w:tcW w:type="dxa" w:w="4135"/>
          </w:tcPr>
          <w:p>
            <w:r>
              <w:rPr>
                <w:rFonts w:ascii="Times New Roman" w:hAnsi="Times New Roman"/>
                <w:color w:val="000000"/>
                <w:sz w:val="22"/>
              </w:rPr>
              <w:t>0</w:t>
            </w:r>
          </w:p>
        </w:tc>
      </w:tr>
      <w:tr>
        <w:tc>
          <w:tcPr>
            <w:tcW w:type="dxa" w:w="4135"/>
          </w:tcPr>
          <w:p>
            <w:r>
              <w:rPr>
                <w:rFonts w:ascii="Times New Roman" w:hAnsi="Times New Roman"/>
                <w:color w:val="000000"/>
                <w:sz w:val="22"/>
              </w:rPr>
              <w:t>Termasuk dalam sintesis</w:t>
            </w:r>
          </w:p>
        </w:tc>
        <w:tc>
          <w:tcPr>
            <w:tcW w:type="dxa" w:w="4135"/>
          </w:tcPr>
          <w:p>
            <w:r>
              <w:rPr>
                <w:rFonts w:ascii="Times New Roman" w:hAnsi="Times New Roman"/>
                <w:color w:val="000000"/>
                <w:sz w:val="22"/>
              </w:rPr>
              <w:t>79</w:t>
            </w:r>
          </w:p>
        </w:tc>
      </w:tr>
      <w:tr>
        <w:tc>
          <w:tcPr>
            <w:tcW w:type="dxa" w:w="4135"/>
          </w:tcPr>
          <w:p>
            <w:r>
              <w:rPr>
                <w:rFonts w:ascii="Times New Roman" w:hAnsi="Times New Roman"/>
                <w:color w:val="000000"/>
                <w:sz w:val="22"/>
              </w:rPr>
              <w:t>Core paper (skor &gt;= 5.5 atau gap)</w:t>
            </w:r>
          </w:p>
        </w:tc>
        <w:tc>
          <w:tcPr>
            <w:tcW w:type="dxa" w:w="4135"/>
          </w:tcPr>
          <w:p>
            <w:r>
              <w:rPr>
                <w:rFonts w:ascii="Times New Roman" w:hAnsi="Times New Roman"/>
                <w:color w:val="000000"/>
                <w:sz w:val="22"/>
              </w:rPr>
              <w:t>19</w:t>
            </w:r>
          </w:p>
        </w:tc>
      </w:tr>
    </w:tbl>
    <w:p/>
    <w:p>
      <w:pPr>
        <w:spacing w:line="360" w:lineRule="auto" w:before="0" w:after="120"/>
        <w:jc w:val="both"/>
      </w:pPr>
      <w:r>
        <w:rPr>
          <w:rFonts w:ascii="Times New Roman" w:hAnsi="Times New Roman"/>
          <w:b/>
          <w:color w:val="000000"/>
          <w:sz w:val="24"/>
        </w:rPr>
        <w:t>3.2 Sebaran pilar</w:t>
      </w:r>
    </w:p>
    <w:p>
      <w:pPr>
        <w:spacing w:line="360" w:lineRule="auto" w:before="0" w:after="120"/>
        <w:jc w:val="both"/>
      </w:pPr>
      <w:r>
        <w:rPr>
          <w:rFonts w:ascii="Times New Roman" w:hAnsi="Times New Roman"/>
          <w:b w:val="0"/>
          <w:color w:val="000000"/>
          <w:sz w:val="24"/>
        </w:rPr>
        <w:t>Korpus terbagi ke dalam tujuh pilar tematik. Pilar survival analysis dan censored data (A) serta deep learning RUL (B) masing-masing mencakup 24 artikel, diikuti Bayesian/uncertainty (C) dengan 15 artikel dan small-data/transfer (D) 9 artikel. Pilar DSS/predictive maintenance (F) mencakup 6 artikel, sedangkan domain membran/RO (E) hanya 1 artikel karena studi domain yang murni fouling/performance dikeluarkan pada gate topik; konteks Indonesia (G) tidak tersisa pada korpus sintesis.</w:t>
      </w:r>
    </w:p>
    <w:p>
      <w:pPr>
        <w:spacing w:before="120" w:after="40"/>
        <w:jc w:val="center"/>
      </w:pPr>
      <w:r>
        <w:drawing>
          <wp:inline xmlns:a="http://schemas.openxmlformats.org/drawingml/2006/main" xmlns:pic="http://schemas.openxmlformats.org/drawingml/2006/picture">
            <wp:extent cx="5040000" cy="2288408"/>
            <wp:docPr id="3" name="Picture 3"/>
            <wp:cNvGraphicFramePr>
              <a:graphicFrameLocks noChangeAspect="1"/>
            </wp:cNvGraphicFramePr>
            <a:graphic>
              <a:graphicData uri="http://schemas.openxmlformats.org/drawingml/2006/picture">
                <pic:pic>
                  <pic:nvPicPr>
                    <pic:cNvPr id="0" name="fig07_pillar_distribution.png"/>
                    <pic:cNvPicPr/>
                  </pic:nvPicPr>
                  <pic:blipFill>
                    <a:blip r:embed="rId11"/>
                    <a:stretch>
                      <a:fillRect/>
                    </a:stretch>
                  </pic:blipFill>
                  <pic:spPr>
                    <a:xfrm>
                      <a:off x="0" y="0"/>
                      <a:ext cx="5040000" cy="2288408"/>
                    </a:xfrm>
                    <a:prstGeom prst="rect"/>
                  </pic:spPr>
                </pic:pic>
              </a:graphicData>
            </a:graphic>
          </wp:inline>
        </w:drawing>
      </w:r>
    </w:p>
    <w:p>
      <w:pPr>
        <w:spacing w:after="160"/>
        <w:jc w:val="center"/>
      </w:pPr>
      <w:r>
        <w:rPr>
          <w:rFonts w:ascii="Times New Roman" w:hAnsi="Times New Roman"/>
          <w:i/>
          <w:color w:val="000000"/>
          <w:sz w:val="20"/>
        </w:rPr>
        <w:t>Gambar 3. Sebaran artikel per pilar A sampai G (n = 79 included)</w:t>
      </w:r>
    </w:p>
    <w:tbl>
      <w:tblPr>
        <w:tblStyle w:val="TableGrid"/>
        <w:tblW w:type="auto" w:w="0"/>
        <w:jc w:val="center"/>
        <w:tblLook w:firstColumn="1" w:firstRow="1" w:lastColumn="0" w:lastRow="0" w:noHBand="0" w:noVBand="1" w:val="04A0"/>
      </w:tblPr>
      <w:tblGrid>
        <w:gridCol w:w="4135"/>
        <w:gridCol w:w="4135"/>
      </w:tblGrid>
      <w:tr>
        <w:tc>
          <w:tcPr>
            <w:tcW w:type="dxa" w:w="4135"/>
          </w:tcPr>
          <w:p>
            <w:r>
              <w:rPr>
                <w:rFonts w:ascii="Times New Roman" w:hAnsi="Times New Roman"/>
                <w:color w:val="000000"/>
                <w:sz w:val="22"/>
              </w:rPr>
              <w:t>Pilar/Tema</w:t>
            </w:r>
          </w:p>
        </w:tc>
        <w:tc>
          <w:tcPr>
            <w:tcW w:type="dxa" w:w="4135"/>
          </w:tcPr>
          <w:p>
            <w:r>
              <w:rPr>
                <w:rFonts w:ascii="Times New Roman" w:hAnsi="Times New Roman"/>
                <w:color w:val="000000"/>
                <w:sz w:val="22"/>
              </w:rPr>
              <w:t>Jumlah Artikel</w:t>
            </w:r>
          </w:p>
        </w:tc>
      </w:tr>
      <w:tr>
        <w:tc>
          <w:tcPr>
            <w:tcW w:type="dxa" w:w="4135"/>
          </w:tcPr>
          <w:p>
            <w:r>
              <w:rPr>
                <w:rFonts w:ascii="Times New Roman" w:hAnsi="Times New Roman"/>
                <w:color w:val="000000"/>
                <w:sz w:val="22"/>
              </w:rPr>
              <w:t>A. Survival Analysis &amp; Censored Data</w:t>
            </w:r>
          </w:p>
        </w:tc>
        <w:tc>
          <w:tcPr>
            <w:tcW w:type="dxa" w:w="4135"/>
          </w:tcPr>
          <w:p>
            <w:r>
              <w:rPr>
                <w:rFonts w:ascii="Times New Roman" w:hAnsi="Times New Roman"/>
                <w:color w:val="000000"/>
                <w:sz w:val="22"/>
              </w:rPr>
              <w:t>24</w:t>
            </w:r>
          </w:p>
        </w:tc>
      </w:tr>
      <w:tr>
        <w:tc>
          <w:tcPr>
            <w:tcW w:type="dxa" w:w="4135"/>
          </w:tcPr>
          <w:p>
            <w:r>
              <w:rPr>
                <w:rFonts w:ascii="Times New Roman" w:hAnsi="Times New Roman"/>
                <w:color w:val="000000"/>
                <w:sz w:val="22"/>
              </w:rPr>
              <w:t>B. Deep Learning RUL</w:t>
            </w:r>
          </w:p>
        </w:tc>
        <w:tc>
          <w:tcPr>
            <w:tcW w:type="dxa" w:w="4135"/>
          </w:tcPr>
          <w:p>
            <w:r>
              <w:rPr>
                <w:rFonts w:ascii="Times New Roman" w:hAnsi="Times New Roman"/>
                <w:color w:val="000000"/>
                <w:sz w:val="22"/>
              </w:rPr>
              <w:t>24</w:t>
            </w:r>
          </w:p>
        </w:tc>
      </w:tr>
      <w:tr>
        <w:tc>
          <w:tcPr>
            <w:tcW w:type="dxa" w:w="4135"/>
          </w:tcPr>
          <w:p>
            <w:r>
              <w:rPr>
                <w:rFonts w:ascii="Times New Roman" w:hAnsi="Times New Roman"/>
                <w:color w:val="000000"/>
                <w:sz w:val="22"/>
              </w:rPr>
              <w:t>C. Bayesian &amp; Uncertainty</w:t>
            </w:r>
          </w:p>
        </w:tc>
        <w:tc>
          <w:tcPr>
            <w:tcW w:type="dxa" w:w="4135"/>
          </w:tcPr>
          <w:p>
            <w:r>
              <w:rPr>
                <w:rFonts w:ascii="Times New Roman" w:hAnsi="Times New Roman"/>
                <w:color w:val="000000"/>
                <w:sz w:val="22"/>
              </w:rPr>
              <w:t>15</w:t>
            </w:r>
          </w:p>
        </w:tc>
      </w:tr>
      <w:tr>
        <w:tc>
          <w:tcPr>
            <w:tcW w:type="dxa" w:w="4135"/>
          </w:tcPr>
          <w:p>
            <w:r>
              <w:rPr>
                <w:rFonts w:ascii="Times New Roman" w:hAnsi="Times New Roman"/>
                <w:color w:val="000000"/>
                <w:sz w:val="22"/>
              </w:rPr>
              <w:t>D. Small-data/Transfer/Hierarchical</w:t>
            </w:r>
          </w:p>
        </w:tc>
        <w:tc>
          <w:tcPr>
            <w:tcW w:type="dxa" w:w="4135"/>
          </w:tcPr>
          <w:p>
            <w:r>
              <w:rPr>
                <w:rFonts w:ascii="Times New Roman" w:hAnsi="Times New Roman"/>
                <w:color w:val="000000"/>
                <w:sz w:val="22"/>
              </w:rPr>
              <w:t>9</w:t>
            </w:r>
          </w:p>
        </w:tc>
      </w:tr>
      <w:tr>
        <w:tc>
          <w:tcPr>
            <w:tcW w:type="dxa" w:w="4135"/>
          </w:tcPr>
          <w:p>
            <w:r>
              <w:rPr>
                <w:rFonts w:ascii="Times New Roman" w:hAnsi="Times New Roman"/>
                <w:color w:val="000000"/>
                <w:sz w:val="22"/>
              </w:rPr>
              <w:t>E. Membrane/RO/Desalination</w:t>
            </w:r>
          </w:p>
        </w:tc>
        <w:tc>
          <w:tcPr>
            <w:tcW w:type="dxa" w:w="4135"/>
          </w:tcPr>
          <w:p>
            <w:r>
              <w:rPr>
                <w:rFonts w:ascii="Times New Roman" w:hAnsi="Times New Roman"/>
                <w:color w:val="000000"/>
                <w:sz w:val="22"/>
              </w:rPr>
              <w:t>1</w:t>
            </w:r>
          </w:p>
        </w:tc>
      </w:tr>
      <w:tr>
        <w:tc>
          <w:tcPr>
            <w:tcW w:type="dxa" w:w="4135"/>
          </w:tcPr>
          <w:p>
            <w:r>
              <w:rPr>
                <w:rFonts w:ascii="Times New Roman" w:hAnsi="Times New Roman"/>
                <w:color w:val="000000"/>
                <w:sz w:val="22"/>
              </w:rPr>
              <w:t>F. DSS &amp; Predictive Maintenance (IS)</w:t>
            </w:r>
          </w:p>
        </w:tc>
        <w:tc>
          <w:tcPr>
            <w:tcW w:type="dxa" w:w="4135"/>
          </w:tcPr>
          <w:p>
            <w:r>
              <w:rPr>
                <w:rFonts w:ascii="Times New Roman" w:hAnsi="Times New Roman"/>
                <w:color w:val="000000"/>
                <w:sz w:val="22"/>
              </w:rPr>
              <w:t>6</w:t>
            </w:r>
          </w:p>
        </w:tc>
      </w:tr>
    </w:tbl>
    <w:p/>
    <w:p>
      <w:pPr>
        <w:spacing w:line="360" w:lineRule="auto" w:before="0" w:after="120"/>
        <w:jc w:val="both"/>
      </w:pPr>
      <w:r>
        <w:rPr>
          <w:rFonts w:ascii="Times New Roman" w:hAnsi="Times New Roman"/>
          <w:b/>
          <w:color w:val="000000"/>
          <w:sz w:val="24"/>
        </w:rPr>
        <w:t>3.3 Matriks konsep dan sebaran dimensi</w:t>
      </w:r>
    </w:p>
    <w:p>
      <w:pPr>
        <w:spacing w:line="360" w:lineRule="auto" w:before="0" w:after="120"/>
        <w:jc w:val="both"/>
      </w:pPr>
      <w:r>
        <w:rPr>
          <w:rFonts w:ascii="Times New Roman" w:hAnsi="Times New Roman"/>
          <w:b w:val="0"/>
          <w:color w:val="000000"/>
          <w:sz w:val="24"/>
        </w:rPr>
        <w:t>Matriks konsep menunjukkan sebaran yang tidak merata. Dimensi target/kegagalan (D2) dibahas 79 artikel, arsitektur model (D4) 76 artikel, dan data/sensor (D1) 73 artikel. Dimensi ketidakpastian (D5) dibahas 43 artikel, skala data (D8) 31 artikel, censoring (D3) 28 artikel, keputusan/DSS (D6) 21 artikel, dan domain RO (D7) hanya 2 artikel. Meskipun D3 bukan dimensi paling tipis secara absolut, D3 justru paling kritis karena merupakan inti persoalan data membran.</w:t>
      </w:r>
    </w:p>
    <w:p>
      <w:pPr>
        <w:spacing w:before="120" w:after="40"/>
        <w:jc w:val="center"/>
      </w:pPr>
      <w:r>
        <w:drawing>
          <wp:inline xmlns:a="http://schemas.openxmlformats.org/drawingml/2006/main" xmlns:pic="http://schemas.openxmlformats.org/drawingml/2006/picture">
            <wp:extent cx="5040000" cy="2288408"/>
            <wp:docPr id="4" name="Picture 4"/>
            <wp:cNvGraphicFramePr>
              <a:graphicFrameLocks noChangeAspect="1"/>
            </wp:cNvGraphicFramePr>
            <a:graphic>
              <a:graphicData uri="http://schemas.openxmlformats.org/drawingml/2006/picture">
                <pic:pic>
                  <pic:nvPicPr>
                    <pic:cNvPr id="0" name="fig08_dimension_coverage.png"/>
                    <pic:cNvPicPr/>
                  </pic:nvPicPr>
                  <pic:blipFill>
                    <a:blip r:embed="rId12"/>
                    <a:stretch>
                      <a:fillRect/>
                    </a:stretch>
                  </pic:blipFill>
                  <pic:spPr>
                    <a:xfrm>
                      <a:off x="0" y="0"/>
                      <a:ext cx="5040000" cy="2288408"/>
                    </a:xfrm>
                    <a:prstGeom prst="rect"/>
                  </pic:spPr>
                </pic:pic>
              </a:graphicData>
            </a:graphic>
          </wp:inline>
        </w:drawing>
      </w:r>
    </w:p>
    <w:p>
      <w:pPr>
        <w:spacing w:after="160"/>
        <w:jc w:val="center"/>
      </w:pPr>
      <w:r>
        <w:rPr>
          <w:rFonts w:ascii="Times New Roman" w:hAnsi="Times New Roman"/>
          <w:i/>
          <w:color w:val="000000"/>
          <w:sz w:val="20"/>
        </w:rPr>
        <w:t>Gambar 4. Cakupan dimensi konsep D1 sampai D8 (n = 79 included)</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color w:val="000000"/>
                <w:sz w:val="22"/>
              </w:rPr>
              <w:t>Dimensi Konsep</w:t>
            </w:r>
          </w:p>
        </w:tc>
        <w:tc>
          <w:tcPr>
            <w:tcW w:type="dxa" w:w="2757"/>
          </w:tcPr>
          <w:p>
            <w:r>
              <w:rPr>
                <w:rFonts w:ascii="Times New Roman" w:hAnsi="Times New Roman"/>
                <w:color w:val="000000"/>
                <w:sz w:val="22"/>
              </w:rPr>
              <w:t>Jumlah Artikel</w:t>
            </w:r>
          </w:p>
        </w:tc>
        <w:tc>
          <w:tcPr>
            <w:tcW w:type="dxa" w:w="2757"/>
          </w:tcPr>
          <w:p>
            <w:r>
              <w:rPr>
                <w:rFonts w:ascii="Times New Roman" w:hAnsi="Times New Roman"/>
                <w:color w:val="000000"/>
                <w:sz w:val="22"/>
              </w:rPr>
              <w:t>/ Total</w:t>
            </w:r>
          </w:p>
        </w:tc>
      </w:tr>
      <w:tr>
        <w:tc>
          <w:tcPr>
            <w:tcW w:type="dxa" w:w="2757"/>
          </w:tcPr>
          <w:p>
            <w:r>
              <w:rPr>
                <w:rFonts w:ascii="Times New Roman" w:hAnsi="Times New Roman"/>
                <w:color w:val="000000"/>
                <w:sz w:val="22"/>
              </w:rPr>
              <w:t>D1 Data/Sensor</w:t>
            </w:r>
          </w:p>
        </w:tc>
        <w:tc>
          <w:tcPr>
            <w:tcW w:type="dxa" w:w="2757"/>
          </w:tcPr>
          <w:p>
            <w:r>
              <w:rPr>
                <w:rFonts w:ascii="Times New Roman" w:hAnsi="Times New Roman"/>
                <w:color w:val="000000"/>
                <w:sz w:val="22"/>
              </w:rPr>
              <w:t>73</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D2 Target/Failure</w:t>
            </w:r>
          </w:p>
        </w:tc>
        <w:tc>
          <w:tcPr>
            <w:tcW w:type="dxa" w:w="2757"/>
          </w:tcPr>
          <w:p>
            <w:r>
              <w:rPr>
                <w:rFonts w:ascii="Times New Roman" w:hAnsi="Times New Roman"/>
                <w:color w:val="000000"/>
                <w:sz w:val="22"/>
              </w:rPr>
              <w:t>79</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D3 Censoring</w:t>
            </w:r>
          </w:p>
        </w:tc>
        <w:tc>
          <w:tcPr>
            <w:tcW w:type="dxa" w:w="2757"/>
          </w:tcPr>
          <w:p>
            <w:r>
              <w:rPr>
                <w:rFonts w:ascii="Times New Roman" w:hAnsi="Times New Roman"/>
                <w:color w:val="000000"/>
                <w:sz w:val="22"/>
              </w:rPr>
              <w:t>28</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D4 Arsitektur Model</w:t>
            </w:r>
          </w:p>
        </w:tc>
        <w:tc>
          <w:tcPr>
            <w:tcW w:type="dxa" w:w="2757"/>
          </w:tcPr>
          <w:p>
            <w:r>
              <w:rPr>
                <w:rFonts w:ascii="Times New Roman" w:hAnsi="Times New Roman"/>
                <w:color w:val="000000"/>
                <w:sz w:val="22"/>
              </w:rPr>
              <w:t>76</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D5 Ketidakpastian</w:t>
            </w:r>
          </w:p>
        </w:tc>
        <w:tc>
          <w:tcPr>
            <w:tcW w:type="dxa" w:w="2757"/>
          </w:tcPr>
          <w:p>
            <w:r>
              <w:rPr>
                <w:rFonts w:ascii="Times New Roman" w:hAnsi="Times New Roman"/>
                <w:color w:val="000000"/>
                <w:sz w:val="22"/>
              </w:rPr>
              <w:t>43</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D6 Keputusan/DSS</w:t>
            </w:r>
          </w:p>
        </w:tc>
        <w:tc>
          <w:tcPr>
            <w:tcW w:type="dxa" w:w="2757"/>
          </w:tcPr>
          <w:p>
            <w:r>
              <w:rPr>
                <w:rFonts w:ascii="Times New Roman" w:hAnsi="Times New Roman"/>
                <w:color w:val="000000"/>
                <w:sz w:val="22"/>
              </w:rPr>
              <w:t>21</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D7 Domain RO/Membran</w:t>
            </w:r>
          </w:p>
        </w:tc>
        <w:tc>
          <w:tcPr>
            <w:tcW w:type="dxa" w:w="2757"/>
          </w:tcPr>
          <w:p>
            <w:r>
              <w:rPr>
                <w:rFonts w:ascii="Times New Roman" w:hAnsi="Times New Roman"/>
                <w:color w:val="000000"/>
                <w:sz w:val="22"/>
              </w:rPr>
              <w:t>2</w:t>
            </w:r>
          </w:p>
        </w:tc>
        <w:tc>
          <w:tcPr>
            <w:tcW w:type="dxa" w:w="2757"/>
          </w:tcPr>
          <w:p>
            <w:r>
              <w:rPr>
                <w:rFonts w:ascii="Times New Roman" w:hAnsi="Times New Roman"/>
                <w:color w:val="000000"/>
                <w:sz w:val="22"/>
              </w:rPr>
              <w:t>/79</w:t>
            </w:r>
          </w:p>
        </w:tc>
      </w:tr>
      <w:tr>
        <w:tc>
          <w:tcPr>
            <w:tcW w:type="dxa" w:w="2757"/>
          </w:tcPr>
          <w:p>
            <w:r>
              <w:rPr>
                <w:rFonts w:ascii="Times New Roman" w:hAnsi="Times New Roman"/>
                <w:color w:val="000000"/>
                <w:sz w:val="22"/>
              </w:rPr>
              <w:t>D8 Skala Data</w:t>
            </w:r>
          </w:p>
        </w:tc>
        <w:tc>
          <w:tcPr>
            <w:tcW w:type="dxa" w:w="2757"/>
          </w:tcPr>
          <w:p>
            <w:r>
              <w:rPr>
                <w:rFonts w:ascii="Times New Roman" w:hAnsi="Times New Roman"/>
                <w:color w:val="000000"/>
                <w:sz w:val="22"/>
              </w:rPr>
              <w:t>31</w:t>
            </w:r>
          </w:p>
        </w:tc>
        <w:tc>
          <w:tcPr>
            <w:tcW w:type="dxa" w:w="2757"/>
          </w:tcPr>
          <w:p>
            <w:r>
              <w:rPr>
                <w:rFonts w:ascii="Times New Roman" w:hAnsi="Times New Roman"/>
                <w:color w:val="000000"/>
                <w:sz w:val="22"/>
              </w:rPr>
              <w:t>/79</w:t>
            </w:r>
          </w:p>
        </w:tc>
      </w:tr>
    </w:tbl>
    <w:p/>
    <w:p>
      <w:pPr>
        <w:spacing w:before="120" w:after="40"/>
        <w:jc w:val="center"/>
      </w:pPr>
      <w:r>
        <w:drawing>
          <wp:inline xmlns:a="http://schemas.openxmlformats.org/drawingml/2006/main" xmlns:pic="http://schemas.openxmlformats.org/drawingml/2006/picture">
            <wp:extent cx="5400000" cy="2911989"/>
            <wp:docPr id="5" name="Picture 5"/>
            <wp:cNvGraphicFramePr>
              <a:graphicFrameLocks noChangeAspect="1"/>
            </wp:cNvGraphicFramePr>
            <a:graphic>
              <a:graphicData uri="http://schemas.openxmlformats.org/drawingml/2006/picture">
                <pic:pic>
                  <pic:nvPicPr>
                    <pic:cNvPr id="0" name="fig10_pillar_dimension_heatmap.png"/>
                    <pic:cNvPicPr/>
                  </pic:nvPicPr>
                  <pic:blipFill>
                    <a:blip r:embed="rId13"/>
                    <a:stretch>
                      <a:fillRect/>
                    </a:stretch>
                  </pic:blipFill>
                  <pic:spPr>
                    <a:xfrm>
                      <a:off x="0" y="0"/>
                      <a:ext cx="5400000" cy="2911989"/>
                    </a:xfrm>
                    <a:prstGeom prst="rect"/>
                  </pic:spPr>
                </pic:pic>
              </a:graphicData>
            </a:graphic>
          </wp:inline>
        </w:drawing>
      </w:r>
    </w:p>
    <w:p>
      <w:pPr>
        <w:spacing w:after="160"/>
        <w:jc w:val="center"/>
      </w:pPr>
      <w:r>
        <w:rPr>
          <w:rFonts w:ascii="Times New Roman" w:hAnsi="Times New Roman"/>
          <w:i/>
          <w:color w:val="000000"/>
          <w:sz w:val="20"/>
        </w:rPr>
        <w:t>Gambar 5. Matriks konsep Webster-Watson: irisan pilar dan dimensi (jumlah artikel)</w:t>
      </w:r>
    </w:p>
    <w:p>
      <w:pPr>
        <w:spacing w:line="360" w:lineRule="auto" w:before="0" w:after="120"/>
        <w:jc w:val="both"/>
      </w:pPr>
      <w:r>
        <w:rPr>
          <w:rFonts w:ascii="Times New Roman" w:hAnsi="Times New Roman"/>
          <w:b/>
          <w:color w:val="000000"/>
          <w:sz w:val="24"/>
        </w:rPr>
        <w:t>3.4 Penentuan paper inti dan core paper</w:t>
      </w:r>
    </w:p>
    <w:p>
      <w:pPr>
        <w:spacing w:line="360" w:lineRule="auto" w:before="0" w:after="120"/>
        <w:jc w:val="both"/>
      </w:pPr>
      <w:r>
        <w:rPr>
          <w:rFonts w:ascii="Times New Roman" w:hAnsi="Times New Roman"/>
          <w:b w:val="0"/>
          <w:color w:val="000000"/>
          <w:sz w:val="24"/>
        </w:rPr>
        <w:t>Untuk menjawab kebutuhan praktis tesis, korpus 79 artikel dipilah menjadi basis bukti bertingkat. Sebanyak 46 artikel tergolong Inti (31 Inti-Metode, 13 Inti-Domain, 2 Inti-Metode+Domain), 31 Pendukung, dan 2 Konteks. Dengan rubrik skor 0 sampai 6 (relevansi RQ, kedekatan metodologis, kualitas), ditetapkan 19 core paper yang menjadi sumber utama model.</w:t>
      </w:r>
    </w:p>
    <w:p>
      <w:pPr>
        <w:spacing w:before="120" w:after="40"/>
        <w:jc w:val="center"/>
      </w:pPr>
      <w:r>
        <w:drawing>
          <wp:inline xmlns:a="http://schemas.openxmlformats.org/drawingml/2006/main" xmlns:pic="http://schemas.openxmlformats.org/drawingml/2006/picture">
            <wp:extent cx="4680000" cy="2133692"/>
            <wp:docPr id="6" name="Picture 6"/>
            <wp:cNvGraphicFramePr>
              <a:graphicFrameLocks noChangeAspect="1"/>
            </wp:cNvGraphicFramePr>
            <a:graphic>
              <a:graphicData uri="http://schemas.openxmlformats.org/drawingml/2006/picture">
                <pic:pic>
                  <pic:nvPicPr>
                    <pic:cNvPr id="0" name="fig09_tier_funnel.png"/>
                    <pic:cNvPicPr/>
                  </pic:nvPicPr>
                  <pic:blipFill>
                    <a:blip r:embed="rId14"/>
                    <a:stretch>
                      <a:fillRect/>
                    </a:stretch>
                  </pic:blipFill>
                  <pic:spPr>
                    <a:xfrm>
                      <a:off x="0" y="0"/>
                      <a:ext cx="4680000" cy="2133692"/>
                    </a:xfrm>
                    <a:prstGeom prst="rect"/>
                  </pic:spPr>
                </pic:pic>
              </a:graphicData>
            </a:graphic>
          </wp:inline>
        </w:drawing>
      </w:r>
    </w:p>
    <w:p>
      <w:pPr>
        <w:spacing w:after="160"/>
        <w:jc w:val="center"/>
      </w:pPr>
      <w:r>
        <w:rPr>
          <w:rFonts w:ascii="Times New Roman" w:hAnsi="Times New Roman"/>
          <w:i/>
          <w:color w:val="000000"/>
          <w:sz w:val="20"/>
        </w:rPr>
        <w:t>Gambar 6. Penyaringan korpus dan penentuan 19 core paper</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r>
              <w:rPr>
                <w:rFonts w:ascii="Times New Roman" w:hAnsi="Times New Roman"/>
                <w:color w:val="000000"/>
                <w:sz w:val="22"/>
              </w:rPr>
              <w:t>No</w:t>
            </w:r>
          </w:p>
        </w:tc>
        <w:tc>
          <w:tcPr>
            <w:tcW w:type="dxa" w:w="1378"/>
          </w:tcPr>
          <w:p>
            <w:r>
              <w:rPr>
                <w:rFonts w:ascii="Times New Roman" w:hAnsi="Times New Roman"/>
                <w:color w:val="000000"/>
                <w:sz w:val="22"/>
              </w:rPr>
              <w:t>Tahun</w:t>
            </w:r>
          </w:p>
        </w:tc>
        <w:tc>
          <w:tcPr>
            <w:tcW w:type="dxa" w:w="1378"/>
          </w:tcPr>
          <w:p>
            <w:r>
              <w:rPr>
                <w:rFonts w:ascii="Times New Roman" w:hAnsi="Times New Roman"/>
                <w:color w:val="000000"/>
                <w:sz w:val="22"/>
              </w:rPr>
              <w:t>Jurnal</w:t>
            </w:r>
          </w:p>
        </w:tc>
        <w:tc>
          <w:tcPr>
            <w:tcW w:type="dxa" w:w="1378"/>
          </w:tcPr>
          <w:p>
            <w:r>
              <w:rPr>
                <w:rFonts w:ascii="Times New Roman" w:hAnsi="Times New Roman"/>
                <w:color w:val="000000"/>
                <w:sz w:val="22"/>
              </w:rPr>
              <w:t>Judul</w:t>
            </w:r>
          </w:p>
        </w:tc>
        <w:tc>
          <w:tcPr>
            <w:tcW w:type="dxa" w:w="1378"/>
          </w:tcPr>
          <w:p>
            <w:r>
              <w:rPr>
                <w:rFonts w:ascii="Times New Roman" w:hAnsi="Times New Roman"/>
                <w:color w:val="000000"/>
                <w:sz w:val="22"/>
              </w:rPr>
              <w:t>Tier</w:t>
            </w:r>
          </w:p>
        </w:tc>
        <w:tc>
          <w:tcPr>
            <w:tcW w:type="dxa" w:w="1378"/>
          </w:tcPr>
          <w:p>
            <w:r>
              <w:rPr>
                <w:rFonts w:ascii="Times New Roman" w:hAnsi="Times New Roman"/>
                <w:color w:val="000000"/>
                <w:sz w:val="22"/>
              </w:rPr>
              <w:t>Skor</w:t>
            </w:r>
          </w:p>
        </w:tc>
      </w:tr>
      <w:tr>
        <w:tc>
          <w:tcPr>
            <w:tcW w:type="dxa" w:w="1378"/>
          </w:tcPr>
          <w:p>
            <w:r>
              <w:rPr>
                <w:rFonts w:ascii="Times New Roman" w:hAnsi="Times New Roman"/>
                <w:color w:val="000000"/>
                <w:sz w:val="22"/>
              </w:rPr>
              <w:t>11</w:t>
            </w:r>
          </w:p>
        </w:tc>
        <w:tc>
          <w:tcPr>
            <w:tcW w:type="dxa" w:w="1378"/>
          </w:tcPr>
          <w:p>
            <w:r>
              <w:rPr>
                <w:rFonts w:ascii="Times New Roman" w:hAnsi="Times New Roman"/>
                <w:color w:val="000000"/>
                <w:sz w:val="22"/>
              </w:rPr>
              <w:t>2025</w:t>
            </w:r>
          </w:p>
        </w:tc>
        <w:tc>
          <w:tcPr>
            <w:tcW w:type="dxa" w:w="1378"/>
          </w:tcPr>
          <w:p>
            <w:r>
              <w:rPr>
                <w:rFonts w:ascii="Times New Roman" w:hAnsi="Times New Roman"/>
                <w:color w:val="000000"/>
                <w:sz w:val="22"/>
              </w:rPr>
              <w:t>IEEE Transactions on Automation Science</w:t>
            </w:r>
          </w:p>
        </w:tc>
        <w:tc>
          <w:tcPr>
            <w:tcW w:type="dxa" w:w="1378"/>
          </w:tcPr>
          <w:p>
            <w:r>
              <w:rPr>
                <w:rFonts w:ascii="Times New Roman" w:hAnsi="Times New Roman"/>
                <w:color w:val="000000"/>
                <w:sz w:val="22"/>
              </w:rPr>
              <w:t>A Neural Network-Based Survival Analysis Model Considering Censored Data for Fai</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6.0</w:t>
            </w:r>
          </w:p>
        </w:tc>
      </w:tr>
      <w:tr>
        <w:tc>
          <w:tcPr>
            <w:tcW w:type="dxa" w:w="1378"/>
          </w:tcPr>
          <w:p>
            <w:r>
              <w:rPr>
                <w:rFonts w:ascii="Times New Roman" w:hAnsi="Times New Roman"/>
                <w:color w:val="000000"/>
                <w:sz w:val="22"/>
              </w:rPr>
              <w:t>12</w:t>
            </w:r>
          </w:p>
        </w:tc>
        <w:tc>
          <w:tcPr>
            <w:tcW w:type="dxa" w:w="1378"/>
          </w:tcPr>
          <w:p>
            <w:r>
              <w:rPr>
                <w:rFonts w:ascii="Times New Roman" w:hAnsi="Times New Roman"/>
                <w:color w:val="000000"/>
                <w:sz w:val="22"/>
              </w:rPr>
              <w:t>2025</w:t>
            </w:r>
          </w:p>
        </w:tc>
        <w:tc>
          <w:tcPr>
            <w:tcW w:type="dxa" w:w="1378"/>
          </w:tcPr>
          <w:p>
            <w:r>
              <w:rPr>
                <w:rFonts w:ascii="Times New Roman" w:hAnsi="Times New Roman"/>
                <w:color w:val="000000"/>
                <w:sz w:val="22"/>
              </w:rPr>
              <w:t>International Journal of Prognostics and</w:t>
            </w:r>
          </w:p>
        </w:tc>
        <w:tc>
          <w:tcPr>
            <w:tcW w:type="dxa" w:w="1378"/>
          </w:tcPr>
          <w:p>
            <w:r>
              <w:rPr>
                <w:rFonts w:ascii="Times New Roman" w:hAnsi="Times New Roman"/>
                <w:color w:val="000000"/>
                <w:sz w:val="22"/>
              </w:rPr>
              <w:t>LSTM and Transformers based methods for Remaining Useful Life Prediction conside</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6.0</w:t>
            </w:r>
          </w:p>
        </w:tc>
      </w:tr>
      <w:tr>
        <w:tc>
          <w:tcPr>
            <w:tcW w:type="dxa" w:w="1378"/>
          </w:tcPr>
          <w:p>
            <w:r>
              <w:rPr>
                <w:rFonts w:ascii="Times New Roman" w:hAnsi="Times New Roman"/>
                <w:color w:val="000000"/>
                <w:sz w:val="22"/>
              </w:rPr>
              <w:t>13</w:t>
            </w:r>
          </w:p>
        </w:tc>
        <w:tc>
          <w:tcPr>
            <w:tcW w:type="dxa" w:w="1378"/>
          </w:tcPr>
          <w:p>
            <w:r>
              <w:rPr>
                <w:rFonts w:ascii="Times New Roman" w:hAnsi="Times New Roman"/>
                <w:color w:val="000000"/>
                <w:sz w:val="22"/>
              </w:rPr>
              <w:t>2026</w:t>
            </w:r>
          </w:p>
        </w:tc>
        <w:tc>
          <w:tcPr>
            <w:tcW w:type="dxa" w:w="1378"/>
          </w:tcPr>
          <w:p>
            <w:r>
              <w:rPr>
                <w:rFonts w:ascii="Times New Roman" w:hAnsi="Times New Roman"/>
                <w:color w:val="000000"/>
                <w:sz w:val="22"/>
              </w:rPr>
              <w:t>Sensors</w:t>
            </w:r>
          </w:p>
        </w:tc>
        <w:tc>
          <w:tcPr>
            <w:tcW w:type="dxa" w:w="1378"/>
          </w:tcPr>
          <w:p>
            <w:r>
              <w:rPr>
                <w:rFonts w:ascii="Times New Roman" w:hAnsi="Times New Roman"/>
                <w:color w:val="000000"/>
                <w:sz w:val="22"/>
              </w:rPr>
              <w:t>Survival Models for Predictive Maintenance and Remaining Useful Life in Sensor-E</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6.0</w:t>
            </w:r>
          </w:p>
        </w:tc>
      </w:tr>
      <w:tr>
        <w:tc>
          <w:tcPr>
            <w:tcW w:type="dxa" w:w="1378"/>
          </w:tcPr>
          <w:p>
            <w:r>
              <w:rPr>
                <w:rFonts w:ascii="Times New Roman" w:hAnsi="Times New Roman"/>
                <w:color w:val="000000"/>
                <w:sz w:val="22"/>
              </w:rPr>
              <w:t>48</w:t>
            </w:r>
          </w:p>
        </w:tc>
        <w:tc>
          <w:tcPr>
            <w:tcW w:type="dxa" w:w="1378"/>
          </w:tcPr>
          <w:p>
            <w:r>
              <w:rPr>
                <w:rFonts w:ascii="Times New Roman" w:hAnsi="Times New Roman"/>
                <w:color w:val="000000"/>
                <w:sz w:val="22"/>
              </w:rPr>
              <w:t>2019</w:t>
            </w:r>
          </w:p>
        </w:tc>
        <w:tc>
          <w:tcPr>
            <w:tcW w:type="dxa" w:w="1378"/>
          </w:tcPr>
          <w:p>
            <w:r>
              <w:rPr>
                <w:rFonts w:ascii="Times New Roman" w:hAnsi="Times New Roman"/>
                <w:color w:val="000000"/>
                <w:sz w:val="22"/>
              </w:rPr>
              <w:t>International Journal of Prognostics and</w:t>
            </w:r>
          </w:p>
        </w:tc>
        <w:tc>
          <w:tcPr>
            <w:tcW w:type="dxa" w:w="1378"/>
          </w:tcPr>
          <w:p>
            <w:r>
              <w:rPr>
                <w:rFonts w:ascii="Times New Roman" w:hAnsi="Times New Roman"/>
                <w:color w:val="000000"/>
                <w:sz w:val="22"/>
              </w:rPr>
              <w:t>Data-driven Prognostics with Predictive Uncertainty Estimation using Ensemble of</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6.0</w:t>
            </w:r>
          </w:p>
        </w:tc>
      </w:tr>
      <w:tr>
        <w:tc>
          <w:tcPr>
            <w:tcW w:type="dxa" w:w="1378"/>
          </w:tcPr>
          <w:p>
            <w:r>
              <w:rPr>
                <w:rFonts w:ascii="Times New Roman" w:hAnsi="Times New Roman"/>
                <w:color w:val="000000"/>
                <w:sz w:val="22"/>
              </w:rPr>
              <w:t>64</w:t>
            </w:r>
          </w:p>
        </w:tc>
        <w:tc>
          <w:tcPr>
            <w:tcW w:type="dxa" w:w="1378"/>
          </w:tcPr>
          <w:p>
            <w:r>
              <w:rPr>
                <w:rFonts w:ascii="Times New Roman" w:hAnsi="Times New Roman"/>
                <w:color w:val="000000"/>
                <w:sz w:val="22"/>
              </w:rPr>
              <w:t>2020</w:t>
            </w:r>
          </w:p>
        </w:tc>
        <w:tc>
          <w:tcPr>
            <w:tcW w:type="dxa" w:w="1378"/>
          </w:tcPr>
          <w:p>
            <w:r>
              <w:rPr>
                <w:rFonts w:ascii="Times New Roman" w:hAnsi="Times New Roman"/>
                <w:color w:val="000000"/>
                <w:sz w:val="22"/>
              </w:rPr>
              <w:t>Shock and Vibration</w:t>
            </w:r>
          </w:p>
        </w:tc>
        <w:tc>
          <w:tcPr>
            <w:tcW w:type="dxa" w:w="1378"/>
          </w:tcPr>
          <w:p>
            <w:r>
              <w:rPr>
                <w:rFonts w:ascii="Times New Roman" w:hAnsi="Times New Roman"/>
                <w:color w:val="000000"/>
                <w:sz w:val="22"/>
              </w:rPr>
              <w:t>General Log-Linear Weibull Model Combining Vibration and Temperature Characteris</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6.0</w:t>
            </w:r>
          </w:p>
        </w:tc>
      </w:tr>
      <w:tr>
        <w:tc>
          <w:tcPr>
            <w:tcW w:type="dxa" w:w="1378"/>
          </w:tcPr>
          <w:p>
            <w:r>
              <w:rPr>
                <w:rFonts w:ascii="Times New Roman" w:hAnsi="Times New Roman"/>
                <w:color w:val="000000"/>
                <w:sz w:val="22"/>
              </w:rPr>
              <w:t>4</w:t>
            </w:r>
          </w:p>
        </w:tc>
        <w:tc>
          <w:tcPr>
            <w:tcW w:type="dxa" w:w="1378"/>
          </w:tcPr>
          <w:p>
            <w:r>
              <w:rPr>
                <w:rFonts w:ascii="Times New Roman" w:hAnsi="Times New Roman"/>
                <w:color w:val="000000"/>
                <w:sz w:val="22"/>
              </w:rPr>
              <w:t>2016</w:t>
            </w:r>
          </w:p>
        </w:tc>
        <w:tc>
          <w:tcPr>
            <w:tcW w:type="dxa" w:w="1378"/>
          </w:tcPr>
          <w:p>
            <w:r>
              <w:rPr>
                <w:rFonts w:ascii="Times New Roman" w:hAnsi="Times New Roman"/>
                <w:color w:val="000000"/>
                <w:sz w:val="22"/>
              </w:rPr>
              <w:t>Reliability Engineering &amp; System Safety</w:t>
            </w:r>
          </w:p>
        </w:tc>
        <w:tc>
          <w:tcPr>
            <w:tcW w:type="dxa" w:w="1378"/>
          </w:tcPr>
          <w:p>
            <w:r>
              <w:rPr>
                <w:rFonts w:ascii="Times New Roman" w:hAnsi="Times New Roman"/>
                <w:color w:val="000000"/>
                <w:sz w:val="22"/>
              </w:rPr>
              <w:t>Remaining useful life estimation in heterogeneous fleets working under variable</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5.6</w:t>
            </w:r>
          </w:p>
        </w:tc>
      </w:tr>
      <w:tr>
        <w:tc>
          <w:tcPr>
            <w:tcW w:type="dxa" w:w="1378"/>
          </w:tcPr>
          <w:p>
            <w:r>
              <w:rPr>
                <w:rFonts w:ascii="Times New Roman" w:hAnsi="Times New Roman"/>
                <w:color w:val="000000"/>
                <w:sz w:val="22"/>
              </w:rPr>
              <w:t>17</w:t>
            </w:r>
          </w:p>
        </w:tc>
        <w:tc>
          <w:tcPr>
            <w:tcW w:type="dxa" w:w="1378"/>
          </w:tcPr>
          <w:p>
            <w:r>
              <w:rPr>
                <w:rFonts w:ascii="Times New Roman" w:hAnsi="Times New Roman"/>
                <w:color w:val="000000"/>
                <w:sz w:val="22"/>
              </w:rPr>
              <w:t>2026</w:t>
            </w:r>
          </w:p>
        </w:tc>
        <w:tc>
          <w:tcPr>
            <w:tcW w:type="dxa" w:w="1378"/>
          </w:tcPr>
          <w:p>
            <w:r>
              <w:rPr>
                <w:rFonts w:ascii="Times New Roman" w:hAnsi="Times New Roman"/>
                <w:color w:val="000000"/>
                <w:sz w:val="22"/>
              </w:rPr>
              <w:t>IEEE Sensors Letters</w:t>
            </w:r>
          </w:p>
        </w:tc>
        <w:tc>
          <w:tcPr>
            <w:tcW w:type="dxa" w:w="1378"/>
          </w:tcPr>
          <w:p>
            <w:r>
              <w:rPr>
                <w:rFonts w:ascii="Times New Roman" w:hAnsi="Times New Roman"/>
                <w:color w:val="000000"/>
                <w:sz w:val="22"/>
              </w:rPr>
              <w:t>A Multisensor Cross-Modal Attention Framework for Weibull-Driven RUL Estimation</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5.6</w:t>
            </w:r>
          </w:p>
        </w:tc>
      </w:tr>
      <w:tr>
        <w:tc>
          <w:tcPr>
            <w:tcW w:type="dxa" w:w="1378"/>
          </w:tcPr>
          <w:p>
            <w:r>
              <w:rPr>
                <w:rFonts w:ascii="Times New Roman" w:hAnsi="Times New Roman"/>
                <w:color w:val="000000"/>
                <w:sz w:val="22"/>
              </w:rPr>
              <w:t>19</w:t>
            </w:r>
          </w:p>
        </w:tc>
        <w:tc>
          <w:tcPr>
            <w:tcW w:type="dxa" w:w="1378"/>
          </w:tcPr>
          <w:p>
            <w:r>
              <w:rPr>
                <w:rFonts w:ascii="Times New Roman" w:hAnsi="Times New Roman"/>
                <w:color w:val="000000"/>
                <w:sz w:val="22"/>
              </w:rPr>
              <w:t>2022</w:t>
            </w:r>
          </w:p>
        </w:tc>
        <w:tc>
          <w:tcPr>
            <w:tcW w:type="dxa" w:w="1378"/>
          </w:tcPr>
          <w:p>
            <w:r>
              <w:rPr>
                <w:rFonts w:ascii="Times New Roman" w:hAnsi="Times New Roman"/>
                <w:color w:val="000000"/>
                <w:sz w:val="22"/>
              </w:rPr>
              <w:t>Neural Computing and Applications</w:t>
            </w:r>
          </w:p>
        </w:tc>
        <w:tc>
          <w:tcPr>
            <w:tcW w:type="dxa" w:w="1378"/>
          </w:tcPr>
          <w:p>
            <w:r>
              <w:rPr>
                <w:rFonts w:ascii="Times New Roman" w:hAnsi="Times New Roman"/>
                <w:color w:val="000000"/>
                <w:sz w:val="22"/>
              </w:rPr>
              <w:t>Weibull recurrent neural networks for failure prognosis using histogram data</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5.6</w:t>
            </w:r>
          </w:p>
        </w:tc>
      </w:tr>
      <w:tr>
        <w:tc>
          <w:tcPr>
            <w:tcW w:type="dxa" w:w="1378"/>
          </w:tcPr>
          <w:p>
            <w:r>
              <w:rPr>
                <w:rFonts w:ascii="Times New Roman" w:hAnsi="Times New Roman"/>
                <w:color w:val="000000"/>
                <w:sz w:val="22"/>
              </w:rPr>
              <w:t>9</w:t>
            </w:r>
          </w:p>
        </w:tc>
        <w:tc>
          <w:tcPr>
            <w:tcW w:type="dxa" w:w="1378"/>
          </w:tcPr>
          <w:p>
            <w:r>
              <w:rPr>
                <w:rFonts w:ascii="Times New Roman" w:hAnsi="Times New Roman"/>
                <w:color w:val="000000"/>
                <w:sz w:val="22"/>
              </w:rPr>
              <w:t>2026</w:t>
            </w:r>
          </w:p>
        </w:tc>
        <w:tc>
          <w:tcPr>
            <w:tcW w:type="dxa" w:w="1378"/>
          </w:tcPr>
          <w:p>
            <w:r>
              <w:rPr>
                <w:rFonts w:ascii="Times New Roman" w:hAnsi="Times New Roman"/>
                <w:color w:val="000000"/>
                <w:sz w:val="22"/>
              </w:rPr>
              <w:t>Scientific Reports</w:t>
            </w:r>
          </w:p>
        </w:tc>
        <w:tc>
          <w:tcPr>
            <w:tcW w:type="dxa" w:w="1378"/>
          </w:tcPr>
          <w:p>
            <w:r>
              <w:rPr>
                <w:rFonts w:ascii="Times New Roman" w:hAnsi="Times New Roman"/>
                <w:color w:val="000000"/>
                <w:sz w:val="22"/>
              </w:rPr>
              <w:t>Survival-analysis-guided machine learning for failure and remaining-useful-life</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35</w:t>
            </w:r>
          </w:p>
        </w:tc>
        <w:tc>
          <w:tcPr>
            <w:tcW w:type="dxa" w:w="1378"/>
          </w:tcPr>
          <w:p>
            <w:r>
              <w:rPr>
                <w:rFonts w:ascii="Times New Roman" w:hAnsi="Times New Roman"/>
                <w:color w:val="000000"/>
                <w:sz w:val="22"/>
              </w:rPr>
              <w:t>2022</w:t>
            </w:r>
          </w:p>
        </w:tc>
        <w:tc>
          <w:tcPr>
            <w:tcW w:type="dxa" w:w="1378"/>
          </w:tcPr>
          <w:p>
            <w:r>
              <w:rPr>
                <w:rFonts w:ascii="Times New Roman" w:hAnsi="Times New Roman"/>
                <w:color w:val="000000"/>
                <w:sz w:val="22"/>
              </w:rPr>
              <w:t>IEEE Transactions on Instrumentation and</w:t>
            </w:r>
          </w:p>
        </w:tc>
        <w:tc>
          <w:tcPr>
            <w:tcW w:type="dxa" w:w="1378"/>
          </w:tcPr>
          <w:p>
            <w:r>
              <w:rPr>
                <w:rFonts w:ascii="Times New Roman" w:hAnsi="Times New Roman"/>
                <w:color w:val="000000"/>
                <w:sz w:val="22"/>
              </w:rPr>
              <w:t>Domain Adaptive Remaining Useful Life Prediction With Transformer</w:t>
            </w:r>
          </w:p>
        </w:tc>
        <w:tc>
          <w:tcPr>
            <w:tcW w:type="dxa" w:w="1378"/>
          </w:tcPr>
          <w:p>
            <w:r>
              <w:rPr>
                <w:rFonts w:ascii="Times New Roman" w:hAnsi="Times New Roman"/>
                <w:color w:val="000000"/>
                <w:sz w:val="22"/>
              </w:rPr>
              <w:t>Inti-Domain</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54</w:t>
            </w:r>
          </w:p>
        </w:tc>
        <w:tc>
          <w:tcPr>
            <w:tcW w:type="dxa" w:w="1378"/>
          </w:tcPr>
          <w:p>
            <w:r>
              <w:rPr>
                <w:rFonts w:ascii="Times New Roman" w:hAnsi="Times New Roman"/>
                <w:color w:val="000000"/>
                <w:sz w:val="22"/>
              </w:rPr>
              <w:t>2025</w:t>
            </w:r>
          </w:p>
        </w:tc>
        <w:tc>
          <w:tcPr>
            <w:tcW w:type="dxa" w:w="1378"/>
          </w:tcPr>
          <w:p>
            <w:r>
              <w:rPr>
                <w:rFonts w:ascii="Times New Roman" w:hAnsi="Times New Roman"/>
                <w:color w:val="000000"/>
                <w:sz w:val="22"/>
              </w:rPr>
              <w:t>Data &amp; Metadata</w:t>
            </w:r>
          </w:p>
        </w:tc>
        <w:tc>
          <w:tcPr>
            <w:tcW w:type="dxa" w:w="1378"/>
          </w:tcPr>
          <w:p>
            <w:r>
              <w:rPr>
                <w:rFonts w:ascii="Times New Roman" w:hAnsi="Times New Roman"/>
                <w:color w:val="000000"/>
                <w:sz w:val="22"/>
              </w:rPr>
              <w:t>Reliable prediction of industrial components Remaining Useful Life using Cox and</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75</w:t>
            </w:r>
          </w:p>
        </w:tc>
        <w:tc>
          <w:tcPr>
            <w:tcW w:type="dxa" w:w="1378"/>
          </w:tcPr>
          <w:p>
            <w:r>
              <w:rPr>
                <w:rFonts w:ascii="Times New Roman" w:hAnsi="Times New Roman"/>
                <w:color w:val="000000"/>
                <w:sz w:val="22"/>
              </w:rPr>
              <w:t>2019</w:t>
            </w:r>
          </w:p>
        </w:tc>
        <w:tc>
          <w:tcPr>
            <w:tcW w:type="dxa" w:w="1378"/>
          </w:tcPr>
          <w:p>
            <w:r>
              <w:rPr>
                <w:rFonts w:ascii="Times New Roman" w:hAnsi="Times New Roman"/>
                <w:color w:val="000000"/>
                <w:sz w:val="22"/>
              </w:rPr>
              <w:t>Decision Support Systems</w:t>
            </w:r>
          </w:p>
        </w:tc>
        <w:tc>
          <w:tcPr>
            <w:tcW w:type="dxa" w:w="1378"/>
          </w:tcPr>
          <w:p>
            <w:r>
              <w:rPr>
                <w:rFonts w:ascii="Times New Roman" w:hAnsi="Times New Roman"/>
                <w:color w:val="000000"/>
                <w:sz w:val="22"/>
              </w:rPr>
              <w:t>Forecasting remaining useful life: Interpretable deep learning approach via vari</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76</w:t>
            </w:r>
          </w:p>
        </w:tc>
        <w:tc>
          <w:tcPr>
            <w:tcW w:type="dxa" w:w="1378"/>
          </w:tcPr>
          <w:p>
            <w:r>
              <w:rPr>
                <w:rFonts w:ascii="Times New Roman" w:hAnsi="Times New Roman"/>
                <w:color w:val="000000"/>
                <w:sz w:val="22"/>
              </w:rPr>
              <w:t>2025</w:t>
            </w:r>
          </w:p>
        </w:tc>
        <w:tc>
          <w:tcPr>
            <w:tcW w:type="dxa" w:w="1378"/>
          </w:tcPr>
          <w:p>
            <w:r>
              <w:rPr>
                <w:rFonts w:ascii="Times New Roman" w:hAnsi="Times New Roman"/>
                <w:color w:val="000000"/>
                <w:sz w:val="22"/>
              </w:rPr>
              <w:t>Journal of Advanced Mechanical Design Sy</w:t>
            </w:r>
          </w:p>
        </w:tc>
        <w:tc>
          <w:tcPr>
            <w:tcW w:type="dxa" w:w="1378"/>
          </w:tcPr>
          <w:p>
            <w:r>
              <w:rPr>
                <w:rFonts w:ascii="Times New Roman" w:hAnsi="Times New Roman"/>
                <w:color w:val="000000"/>
                <w:sz w:val="22"/>
              </w:rPr>
              <w:t>A physical knowledge-guided and data-driven framework for remaining useful life</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78</w:t>
            </w:r>
          </w:p>
        </w:tc>
        <w:tc>
          <w:tcPr>
            <w:tcW w:type="dxa" w:w="1378"/>
          </w:tcPr>
          <w:p>
            <w:r>
              <w:rPr>
                <w:rFonts w:ascii="Times New Roman" w:hAnsi="Times New Roman"/>
                <w:color w:val="000000"/>
                <w:sz w:val="22"/>
              </w:rPr>
              <w:t>2025</w:t>
            </w:r>
          </w:p>
        </w:tc>
        <w:tc>
          <w:tcPr>
            <w:tcW w:type="dxa" w:w="1378"/>
          </w:tcPr>
          <w:p>
            <w:r>
              <w:rPr>
                <w:rFonts w:ascii="Times New Roman" w:hAnsi="Times New Roman"/>
                <w:color w:val="000000"/>
                <w:sz w:val="22"/>
              </w:rPr>
              <w:t>Green Energy and Intelligent Transportat</w:t>
            </w:r>
          </w:p>
        </w:tc>
        <w:tc>
          <w:tcPr>
            <w:tcW w:type="dxa" w:w="1378"/>
          </w:tcPr>
          <w:p>
            <w:r>
              <w:rPr>
                <w:rFonts w:ascii="Times New Roman" w:hAnsi="Times New Roman"/>
                <w:color w:val="000000"/>
                <w:sz w:val="22"/>
              </w:rPr>
              <w:t>A physics-informed neural network-based method for predicting degradation trajec</w:t>
            </w:r>
          </w:p>
        </w:tc>
        <w:tc>
          <w:tcPr>
            <w:tcW w:type="dxa" w:w="1378"/>
          </w:tcPr>
          <w:p>
            <w:r>
              <w:rPr>
                <w:rFonts w:ascii="Times New Roman" w:hAnsi="Times New Roman"/>
                <w:color w:val="000000"/>
                <w:sz w:val="22"/>
              </w:rPr>
              <w:t>Inti-Domain</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89</w:t>
            </w:r>
          </w:p>
        </w:tc>
        <w:tc>
          <w:tcPr>
            <w:tcW w:type="dxa" w:w="1378"/>
          </w:tcPr>
          <w:p>
            <w:r>
              <w:rPr>
                <w:rFonts w:ascii="Times New Roman" w:hAnsi="Times New Roman"/>
                <w:color w:val="000000"/>
                <w:sz w:val="22"/>
              </w:rPr>
              <w:t>2026</w:t>
            </w:r>
          </w:p>
        </w:tc>
        <w:tc>
          <w:tcPr>
            <w:tcW w:type="dxa" w:w="1378"/>
          </w:tcPr>
          <w:p>
            <w:r>
              <w:rPr>
                <w:rFonts w:ascii="Times New Roman" w:hAnsi="Times New Roman"/>
                <w:color w:val="000000"/>
                <w:sz w:val="22"/>
              </w:rPr>
              <w:t>Quality and Reliability Engineering Inte</w:t>
            </w:r>
          </w:p>
        </w:tc>
        <w:tc>
          <w:tcPr>
            <w:tcW w:type="dxa" w:w="1378"/>
          </w:tcPr>
          <w:p>
            <w:r>
              <w:rPr>
                <w:rFonts w:ascii="Times New Roman" w:hAnsi="Times New Roman"/>
                <w:color w:val="000000"/>
                <w:sz w:val="22"/>
              </w:rPr>
              <w:t>Weibull Variational Autoencoder for Remaining Useful Life Prediction</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92</w:t>
            </w:r>
          </w:p>
        </w:tc>
        <w:tc>
          <w:tcPr>
            <w:tcW w:type="dxa" w:w="1378"/>
          </w:tcPr>
          <w:p>
            <w:r>
              <w:rPr>
                <w:rFonts w:ascii="Times New Roman" w:hAnsi="Times New Roman"/>
                <w:color w:val="000000"/>
                <w:sz w:val="22"/>
              </w:rPr>
              <w:t>2020</w:t>
            </w:r>
          </w:p>
        </w:tc>
        <w:tc>
          <w:tcPr>
            <w:tcW w:type="dxa" w:w="1378"/>
          </w:tcPr>
          <w:p>
            <w:r>
              <w:rPr>
                <w:rFonts w:ascii="Times New Roman" w:hAnsi="Times New Roman"/>
                <w:color w:val="000000"/>
                <w:sz w:val="22"/>
              </w:rPr>
              <w:t>Wireless Communications and Mobile Compu</w:t>
            </w:r>
          </w:p>
        </w:tc>
        <w:tc>
          <w:tcPr>
            <w:tcW w:type="dxa" w:w="1378"/>
          </w:tcPr>
          <w:p>
            <w:r>
              <w:rPr>
                <w:rFonts w:ascii="Times New Roman" w:hAnsi="Times New Roman"/>
                <w:color w:val="000000"/>
                <w:sz w:val="22"/>
              </w:rPr>
              <w:t>Developing Deep Survival Model for Remaining Useful Life Estimation Based on Con</w:t>
            </w:r>
          </w:p>
        </w:tc>
        <w:tc>
          <w:tcPr>
            <w:tcW w:type="dxa" w:w="1378"/>
          </w:tcPr>
          <w:p>
            <w:r>
              <w:rPr>
                <w:rFonts w:ascii="Times New Roman" w:hAnsi="Times New Roman"/>
                <w:color w:val="000000"/>
                <w:sz w:val="22"/>
              </w:rPr>
              <w:t>Inti-Metode</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99</w:t>
            </w:r>
          </w:p>
        </w:tc>
        <w:tc>
          <w:tcPr>
            <w:tcW w:type="dxa" w:w="1378"/>
          </w:tcPr>
          <w:p>
            <w:r>
              <w:rPr>
                <w:rFonts w:ascii="Times New Roman" w:hAnsi="Times New Roman"/>
                <w:color w:val="000000"/>
                <w:sz w:val="22"/>
              </w:rPr>
              <w:t>2023</w:t>
            </w:r>
          </w:p>
        </w:tc>
        <w:tc>
          <w:tcPr>
            <w:tcW w:type="dxa" w:w="1378"/>
          </w:tcPr>
          <w:p>
            <w:r>
              <w:rPr>
                <w:rFonts w:ascii="Times New Roman" w:hAnsi="Times New Roman"/>
                <w:color w:val="000000"/>
                <w:sz w:val="22"/>
              </w:rPr>
              <w:t>Machines (MDPI), 11(2):163, ISSN 2075-17</w:t>
            </w:r>
          </w:p>
        </w:tc>
        <w:tc>
          <w:tcPr>
            <w:tcW w:type="dxa" w:w="1378"/>
          </w:tcPr>
          <w:p>
            <w:r>
              <w:rPr>
                <w:rFonts w:ascii="Times New Roman" w:hAnsi="Times New Roman"/>
                <w:color w:val="000000"/>
                <w:sz w:val="22"/>
              </w:rPr>
              <w:t>Explainable Data-Driven Method Combined with Bayesian Filtering for Remaining Us</w:t>
            </w:r>
          </w:p>
        </w:tc>
        <w:tc>
          <w:tcPr>
            <w:tcW w:type="dxa" w:w="1378"/>
          </w:tcPr>
          <w:p>
            <w:r>
              <w:rPr>
                <w:rFonts w:ascii="Times New Roman" w:hAnsi="Times New Roman"/>
                <w:color w:val="000000"/>
                <w:sz w:val="22"/>
              </w:rPr>
              <w:t>Inti-Domain</w:t>
            </w:r>
          </w:p>
        </w:tc>
        <w:tc>
          <w:tcPr>
            <w:tcW w:type="dxa" w:w="1378"/>
          </w:tcPr>
          <w:p>
            <w:r>
              <w:rPr>
                <w:rFonts w:ascii="Times New Roman" w:hAnsi="Times New Roman"/>
                <w:color w:val="000000"/>
                <w:sz w:val="22"/>
              </w:rPr>
              <w:t>5.5</w:t>
            </w:r>
          </w:p>
        </w:tc>
      </w:tr>
      <w:tr>
        <w:tc>
          <w:tcPr>
            <w:tcW w:type="dxa" w:w="1378"/>
          </w:tcPr>
          <w:p>
            <w:r>
              <w:rPr>
                <w:rFonts w:ascii="Times New Roman" w:hAnsi="Times New Roman"/>
                <w:color w:val="000000"/>
                <w:sz w:val="22"/>
              </w:rPr>
              <w:t>68</w:t>
            </w:r>
          </w:p>
        </w:tc>
        <w:tc>
          <w:tcPr>
            <w:tcW w:type="dxa" w:w="1378"/>
          </w:tcPr>
          <w:p>
            <w:r>
              <w:rPr>
                <w:rFonts w:ascii="Times New Roman" w:hAnsi="Times New Roman"/>
                <w:color w:val="000000"/>
                <w:sz w:val="22"/>
              </w:rPr>
              <w:t>2026</w:t>
            </w:r>
          </w:p>
        </w:tc>
        <w:tc>
          <w:tcPr>
            <w:tcW w:type="dxa" w:w="1378"/>
          </w:tcPr>
          <w:p>
            <w:r>
              <w:rPr>
                <w:rFonts w:ascii="Times New Roman" w:hAnsi="Times New Roman"/>
                <w:color w:val="000000"/>
                <w:sz w:val="22"/>
              </w:rPr>
              <w:t>IEEE Transactions on Instrumentation and</w:t>
            </w:r>
          </w:p>
        </w:tc>
        <w:tc>
          <w:tcPr>
            <w:tcW w:type="dxa" w:w="1378"/>
          </w:tcPr>
          <w:p>
            <w:r>
              <w:rPr>
                <w:rFonts w:ascii="Times New Roman" w:hAnsi="Times New Roman"/>
                <w:color w:val="000000"/>
                <w:sz w:val="22"/>
              </w:rPr>
              <w:t>Multisensor Time Series Forecasting-Based Augmentation Framework for Remaining U</w:t>
            </w:r>
          </w:p>
        </w:tc>
        <w:tc>
          <w:tcPr>
            <w:tcW w:type="dxa" w:w="1378"/>
          </w:tcPr>
          <w:p>
            <w:r>
              <w:rPr>
                <w:rFonts w:ascii="Times New Roman" w:hAnsi="Times New Roman"/>
                <w:color w:val="000000"/>
                <w:sz w:val="22"/>
              </w:rPr>
              <w:t>Inti-Metode+Domain</w:t>
            </w:r>
          </w:p>
        </w:tc>
        <w:tc>
          <w:tcPr>
            <w:tcW w:type="dxa" w:w="1378"/>
          </w:tcPr>
          <w:p>
            <w:r>
              <w:rPr>
                <w:rFonts w:ascii="Times New Roman" w:hAnsi="Times New Roman"/>
                <w:color w:val="000000"/>
                <w:sz w:val="22"/>
              </w:rPr>
              <w:t>4.2</w:t>
            </w:r>
          </w:p>
        </w:tc>
      </w:tr>
      <w:tr>
        <w:tc>
          <w:tcPr>
            <w:tcW w:type="dxa" w:w="1378"/>
          </w:tcPr>
          <w:p>
            <w:r>
              <w:rPr>
                <w:rFonts w:ascii="Times New Roman" w:hAnsi="Times New Roman"/>
                <w:color w:val="000000"/>
                <w:sz w:val="22"/>
              </w:rPr>
              <w:t>81</w:t>
            </w:r>
          </w:p>
        </w:tc>
        <w:tc>
          <w:tcPr>
            <w:tcW w:type="dxa" w:w="1378"/>
          </w:tcPr>
          <w:p>
            <w:r>
              <w:rPr>
                <w:rFonts w:ascii="Times New Roman" w:hAnsi="Times New Roman"/>
                <w:color w:val="000000"/>
                <w:sz w:val="22"/>
              </w:rPr>
              <w:t>2022</w:t>
            </w:r>
          </w:p>
        </w:tc>
        <w:tc>
          <w:tcPr>
            <w:tcW w:type="dxa" w:w="1378"/>
          </w:tcPr>
          <w:p>
            <w:r>
              <w:rPr>
                <w:rFonts w:ascii="Times New Roman" w:hAnsi="Times New Roman"/>
                <w:color w:val="000000"/>
                <w:sz w:val="22"/>
              </w:rPr>
              <w:t>IEEE Transactions on Industry Applicatio</w:t>
            </w:r>
          </w:p>
        </w:tc>
        <w:tc>
          <w:tcPr>
            <w:tcW w:type="dxa" w:w="1378"/>
          </w:tcPr>
          <w:p>
            <w:r>
              <w:rPr>
                <w:rFonts w:ascii="Times New Roman" w:hAnsi="Times New Roman"/>
                <w:color w:val="000000"/>
                <w:sz w:val="22"/>
              </w:rPr>
              <w:t>Probabilistic Modeling of Li-Ion Battery Remaining Useful Life</w:t>
            </w:r>
          </w:p>
        </w:tc>
        <w:tc>
          <w:tcPr>
            <w:tcW w:type="dxa" w:w="1378"/>
          </w:tcPr>
          <w:p>
            <w:r>
              <w:rPr>
                <w:rFonts w:ascii="Times New Roman" w:hAnsi="Times New Roman"/>
                <w:color w:val="000000"/>
                <w:sz w:val="22"/>
              </w:rPr>
              <w:t>Inti-Metode+Domain</w:t>
            </w:r>
          </w:p>
        </w:tc>
        <w:tc>
          <w:tcPr>
            <w:tcW w:type="dxa" w:w="1378"/>
          </w:tcPr>
          <w:p>
            <w:r>
              <w:rPr>
                <w:rFonts w:ascii="Times New Roman" w:hAnsi="Times New Roman"/>
                <w:color w:val="000000"/>
                <w:sz w:val="22"/>
              </w:rPr>
              <w:t>3.8</w:t>
            </w:r>
          </w:p>
        </w:tc>
      </w:tr>
    </w:tbl>
    <w:p/>
    <w:p>
      <w:pPr>
        <w:spacing w:line="360" w:lineRule="auto" w:before="0" w:after="120"/>
        <w:jc w:val="both"/>
      </w:pPr>
      <w:r>
        <w:rPr>
          <w:rFonts w:ascii="Times New Roman" w:hAnsi="Times New Roman"/>
          <w:b/>
          <w:color w:val="000000"/>
          <w:sz w:val="24"/>
        </w:rPr>
        <w:t>3.5 Kualitas studi</w:t>
      </w:r>
    </w:p>
    <w:p>
      <w:pPr>
        <w:spacing w:line="360" w:lineRule="auto" w:before="0" w:after="120"/>
        <w:jc w:val="both"/>
      </w:pPr>
      <w:r>
        <w:rPr>
          <w:rFonts w:ascii="Times New Roman" w:hAnsi="Times New Roman"/>
          <w:b w:val="0"/>
          <w:color w:val="000000"/>
          <w:sz w:val="24"/>
        </w:rPr>
        <w:t>Skor kualitas studi berkisar 4 sampai 9 dari 10, dengan mayoritas berada pada rentang 6 sampai 8. Sebaran ini menunjukkan bahwa korpus cukup matang secara metodologis, tetapi belum merata pada aspek pelaporan ketidakpastian dan penanganan censoring.</w:t>
      </w:r>
    </w:p>
    <w:p>
      <w:pPr>
        <w:spacing w:before="120" w:after="40"/>
        <w:jc w:val="center"/>
      </w:pPr>
      <w:r>
        <w:drawing>
          <wp:inline xmlns:a="http://schemas.openxmlformats.org/drawingml/2006/main" xmlns:pic="http://schemas.openxmlformats.org/drawingml/2006/picture">
            <wp:extent cx="4320000" cy="1868764"/>
            <wp:docPr id="7" name="Picture 7"/>
            <wp:cNvGraphicFramePr>
              <a:graphicFrameLocks noChangeAspect="1"/>
            </wp:cNvGraphicFramePr>
            <a:graphic>
              <a:graphicData uri="http://schemas.openxmlformats.org/drawingml/2006/picture">
                <pic:pic>
                  <pic:nvPicPr>
                    <pic:cNvPr id="0" name="fig12_quality_distribution.png"/>
                    <pic:cNvPicPr/>
                  </pic:nvPicPr>
                  <pic:blipFill>
                    <a:blip r:embed="rId15"/>
                    <a:stretch>
                      <a:fillRect/>
                    </a:stretch>
                  </pic:blipFill>
                  <pic:spPr>
                    <a:xfrm>
                      <a:off x="0" y="0"/>
                      <a:ext cx="4320000" cy="1868764"/>
                    </a:xfrm>
                    <a:prstGeom prst="rect"/>
                  </pic:spPr>
                </pic:pic>
              </a:graphicData>
            </a:graphic>
          </wp:inline>
        </w:drawing>
      </w:r>
    </w:p>
    <w:p>
      <w:pPr>
        <w:spacing w:after="160"/>
        <w:jc w:val="center"/>
      </w:pPr>
      <w:r>
        <w:rPr>
          <w:rFonts w:ascii="Times New Roman" w:hAnsi="Times New Roman"/>
          <w:i/>
          <w:color w:val="000000"/>
          <w:sz w:val="20"/>
        </w:rPr>
        <w:t>Gambar 7. Sebaran skor kualitas studi (n = 79 included)</w:t>
      </w:r>
    </w:p>
    <w:p>
      <w:pPr>
        <w:spacing w:line="360" w:lineRule="auto" w:before="0" w:after="120"/>
        <w:jc w:val="both"/>
      </w:pPr>
      <w:r>
        <w:rPr>
          <w:rFonts w:ascii="Times New Roman" w:hAnsi="Times New Roman"/>
          <w:b/>
          <w:color w:val="000000"/>
          <w:sz w:val="24"/>
        </w:rPr>
        <w:t>3.6 Tren publikasi</w:t>
      </w:r>
    </w:p>
    <w:p>
      <w:pPr>
        <w:spacing w:line="360" w:lineRule="auto" w:before="0" w:after="120"/>
        <w:jc w:val="both"/>
      </w:pPr>
      <w:r>
        <w:rPr>
          <w:rFonts w:ascii="Times New Roman" w:hAnsi="Times New Roman"/>
          <w:b w:val="0"/>
          <w:color w:val="000000"/>
          <w:sz w:val="24"/>
        </w:rPr>
        <w:t>Publikasi meningkat setelah 2018 seiring meluasnya deep learning untuk prognostik, dengan puncak pada beberapa tahun terakhir. Tren ini menegaskan bahwa bidangnya aktif, tetapi belum terkonsentrasi pada domain membran.</w:t>
      </w:r>
    </w:p>
    <w:p>
      <w:pPr>
        <w:spacing w:before="120" w:after="40"/>
        <w:jc w:val="center"/>
      </w:pPr>
      <w:r>
        <w:drawing>
          <wp:inline xmlns:a="http://schemas.openxmlformats.org/drawingml/2006/main" xmlns:pic="http://schemas.openxmlformats.org/drawingml/2006/picture">
            <wp:extent cx="5040000" cy="2148535"/>
            <wp:docPr id="8" name="Picture 8"/>
            <wp:cNvGraphicFramePr>
              <a:graphicFrameLocks noChangeAspect="1"/>
            </wp:cNvGraphicFramePr>
            <a:graphic>
              <a:graphicData uri="http://schemas.openxmlformats.org/drawingml/2006/picture">
                <pic:pic>
                  <pic:nvPicPr>
                    <pic:cNvPr id="0" name="fig11_year_trend.png"/>
                    <pic:cNvPicPr/>
                  </pic:nvPicPr>
                  <pic:blipFill>
                    <a:blip r:embed="rId16"/>
                    <a:stretch>
                      <a:fillRect/>
                    </a:stretch>
                  </pic:blipFill>
                  <pic:spPr>
                    <a:xfrm>
                      <a:off x="0" y="0"/>
                      <a:ext cx="5040000" cy="2148535"/>
                    </a:xfrm>
                    <a:prstGeom prst="rect"/>
                  </pic:spPr>
                </pic:pic>
              </a:graphicData>
            </a:graphic>
          </wp:inline>
        </w:drawing>
      </w:r>
    </w:p>
    <w:p>
      <w:pPr>
        <w:spacing w:after="160"/>
        <w:jc w:val="center"/>
      </w:pPr>
      <w:r>
        <w:rPr>
          <w:rFonts w:ascii="Times New Roman" w:hAnsi="Times New Roman"/>
          <w:i/>
          <w:color w:val="000000"/>
          <w:sz w:val="20"/>
        </w:rPr>
        <w:t>Gambar 8. Tren publikasi korpus 2015 sampai 2026</w:t>
      </w:r>
    </w:p>
    <w:p>
      <w:pPr>
        <w:spacing w:line="360" w:lineRule="auto" w:before="0" w:after="120"/>
        <w:jc w:val="both"/>
      </w:pPr>
      <w:r>
        <w:rPr>
          <w:rFonts w:ascii="Times New Roman" w:hAnsi="Times New Roman"/>
          <w:b/>
          <w:color w:val="000000"/>
          <w:sz w:val="24"/>
        </w:rPr>
        <w:t>4. Sintesis dan Research Gap</w:t>
      </w:r>
    </w:p>
    <w:p>
      <w:pPr>
        <w:spacing w:line="360" w:lineRule="auto" w:before="0" w:after="120"/>
        <w:jc w:val="both"/>
      </w:pPr>
      <w:r>
        <w:rPr>
          <w:rFonts w:ascii="Times New Roman" w:hAnsi="Times New Roman"/>
          <w:b/>
          <w:color w:val="000000"/>
          <w:sz w:val="24"/>
        </w:rPr>
        <w:t>4.1 Sintesis per dimensi</w:t>
      </w:r>
    </w:p>
    <w:p>
      <w:pPr>
        <w:pStyle w:val="ListBullet"/>
        <w:spacing w:before="0" w:after="60"/>
      </w:pPr>
      <w:r>
        <w:rPr>
          <w:rFonts w:ascii="Times New Roman" w:hAnsi="Times New Roman"/>
          <w:color w:val="000000"/>
          <w:sz w:val="24"/>
        </w:rPr>
        <w:t>D1 Data/Sensor: Literatur RUL umumnya memakai data multi-sensor deret waktu (vibrasi, suhu, tekanan, arus). Pada domain membran/RO, sinyal kunci adalah beda tekanan transmembran (TMP/delta-P), laju alir permeate, konduktivitas/TDS, suhu umpan, dan pH. Artinya, sensor yang dibutuhkan tesis ini sudah mapan di literatur. (73/79 artikel)</w:t>
      </w:r>
    </w:p>
    <w:p>
      <w:pPr>
        <w:pStyle w:val="ListBullet"/>
        <w:spacing w:before="0" w:after="60"/>
      </w:pPr>
      <w:r>
        <w:rPr>
          <w:rFonts w:ascii="Times New Roman" w:hAnsi="Times New Roman"/>
          <w:color w:val="000000"/>
          <w:sz w:val="24"/>
        </w:rPr>
        <w:t>D2 Target/Failure: Definisi target terbelah dua: (a) sebagian studi memakai kegagalan fisik (data run-to-failure seperti C-MAPSS/bearing), (b) sebagian mendefinisikan target sebagai ambang performa/health index (soft failure). Untuk membran yang jarang dibiarkan rusak total, pendekatan (b) lebih relevan dan lebih realistis. (79/79 artikel)</w:t>
      </w:r>
    </w:p>
    <w:p>
      <w:pPr>
        <w:pStyle w:val="ListBullet"/>
        <w:spacing w:before="0" w:after="60"/>
      </w:pPr>
      <w:r>
        <w:rPr>
          <w:rFonts w:ascii="Times New Roman" w:hAnsi="Times New Roman"/>
          <w:color w:val="000000"/>
          <w:sz w:val="24"/>
        </w:rPr>
        <w:t>D3 Censoring: Kelompok survival analysis dan sejumlah metode deep learning modern secara eksplisit menangani data tersensor. Namun mayoritas metode DL untuk RUL masih mengabaikan censoring dan dilatih hanya pada data lengkap, sehingga bias. Ini celah metodologis utama. (28/79 artikel)</w:t>
      </w:r>
    </w:p>
    <w:p>
      <w:pPr>
        <w:pStyle w:val="ListBullet"/>
        <w:spacing w:before="0" w:after="60"/>
      </w:pPr>
      <w:r>
        <w:rPr>
          <w:rFonts w:ascii="Times New Roman" w:hAnsi="Times New Roman"/>
          <w:color w:val="000000"/>
          <w:sz w:val="24"/>
        </w:rPr>
        <w:t>D4 Arsitektur Model: Arsitektur didominasi LSTM, CNN-LSTM, dan Transformer untuk deret waktu, serta Bayesian Neural Network untuk probabilistik; pendekatan survival klasik (Cox, Weibull/AFT) tetap dipakai untuk pemodelan waktu-ke-kejadian. (76/79 artikel)</w:t>
      </w:r>
    </w:p>
    <w:p>
      <w:pPr>
        <w:pStyle w:val="ListBullet"/>
        <w:spacing w:before="0" w:after="60"/>
      </w:pPr>
      <w:r>
        <w:rPr>
          <w:rFonts w:ascii="Times New Roman" w:hAnsi="Times New Roman"/>
          <w:color w:val="000000"/>
          <w:sz w:val="24"/>
        </w:rPr>
        <w:t>D5 Ketidakpastian: Model probabilistik/Bayesian menyediakan kuantifikasi ketidakpastian (interval prediksi), sedangkan model deterministik umumnya hanya mengeluarkan satu angka RUL. Untuk keputusan perawatan, ketidakpastian penting. (43/79 artikel)</w:t>
      </w:r>
    </w:p>
    <w:p>
      <w:pPr>
        <w:pStyle w:val="ListBullet"/>
        <w:spacing w:before="0" w:after="60"/>
      </w:pPr>
      <w:r>
        <w:rPr>
          <w:rFonts w:ascii="Times New Roman" w:hAnsi="Times New Roman"/>
          <w:color w:val="000000"/>
          <w:sz w:val="24"/>
        </w:rPr>
        <w:t>D6 Keputusan/DSS: Hanya sebagian kecil studi menghubungkan prediksi RUL ke keputusan perawatan (penjadwalan, biaya). Justru di sinilah kontribusi Sistem Informasi (DSS/CMMS) berada. (21/79 artikel)</w:t>
      </w:r>
    </w:p>
    <w:p>
      <w:pPr>
        <w:pStyle w:val="ListBullet"/>
        <w:spacing w:before="0" w:after="60"/>
      </w:pPr>
      <w:r>
        <w:rPr>
          <w:rFonts w:ascii="Times New Roman" w:hAnsi="Times New Roman"/>
          <w:color w:val="000000"/>
          <w:sz w:val="24"/>
        </w:rPr>
        <w:t>D7 Domain RO/Membran: Domain membran/RO/desalinasi jauh lebih sedikit dibanding mesin/bearing/baterai. Prediksi RUL membran masih tipis; sebagian besar berupa prediksi fouling atau performa, bukan RUL dengan survival analysis. (2/79 artikel)</w:t>
      </w:r>
    </w:p>
    <w:p>
      <w:pPr>
        <w:pStyle w:val="ListBullet"/>
        <w:spacing w:before="0" w:after="60"/>
      </w:pPr>
      <w:r>
        <w:rPr>
          <w:rFonts w:ascii="Times New Roman" w:hAnsi="Times New Roman"/>
          <w:color w:val="000000"/>
          <w:sz w:val="24"/>
        </w:rPr>
        <w:t>D8 Skala Data: Sangat sedikit studi yang secara khusus menangani data kecil (small-data), few-shot, transfer learning, atau kondisi tanpa kegagalan; mayoritas berasumsi armada besar dengan banyak kegagalan teramati. (31/79 artikel)</w:t>
      </w:r>
    </w:p>
    <w:p>
      <w:pPr>
        <w:spacing w:line="360" w:lineRule="auto" w:before="0" w:after="120"/>
        <w:jc w:val="both"/>
      </w:pPr>
      <w:r>
        <w:rPr>
          <w:rFonts w:ascii="Times New Roman" w:hAnsi="Times New Roman"/>
          <w:b/>
          <w:color w:val="000000"/>
          <w:sz w:val="24"/>
        </w:rPr>
        <w:t>4.2 Research gap</w:t>
      </w:r>
    </w:p>
    <w:p>
      <w:pPr>
        <w:spacing w:line="360" w:lineRule="auto" w:before="0" w:after="120"/>
        <w:jc w:val="both"/>
      </w:pPr>
      <w:r>
        <w:rPr>
          <w:rFonts w:ascii="Times New Roman" w:hAnsi="Times New Roman"/>
          <w:b w:val="0"/>
          <w:color w:val="000000"/>
          <w:sz w:val="24"/>
        </w:rPr>
        <w:t>Dari 101 artikel yang diekstraksi, tidak satu pun secara simultan menggabungkan: (1) prediksi RUL membran reverse osmosis dengan survival analysis yang sadar-censoring; (2) kondisi data tanpa kegagalan (penggantian preventif sebelum rusak) sehingga censoring mendominasi; (3) skala data kecil pada satu plant pilot; dan (4) integrasi hasilnya ke dalam sistem pendukung keputusan perawatan. Kombinasi inilah yang menjadi kontribusi tesis.</w:t>
      </w:r>
    </w:p>
    <w:p>
      <w:pPr>
        <w:spacing w:line="360" w:lineRule="auto" w:before="0" w:after="120"/>
        <w:jc w:val="both"/>
      </w:pPr>
      <w:r>
        <w:rPr>
          <w:rFonts w:ascii="Times New Roman" w:hAnsi="Times New Roman"/>
          <w:b w:val="0"/>
          <w:color w:val="000000"/>
          <w:sz w:val="24"/>
        </w:rPr>
        <w:t>Catatan kuantitatif: D3 dibahas 28 artikel dan D7 dibahas 2 artikel, tetapi irisan D3 dan D7 berjumlah 0 artikel.</w:t>
      </w:r>
    </w:p>
    <w:p>
      <w:pPr>
        <w:spacing w:line="360" w:lineRule="auto" w:before="0" w:after="120"/>
        <w:jc w:val="both"/>
      </w:pPr>
      <w:r>
        <w:rPr>
          <w:rFonts w:ascii="Times New Roman" w:hAnsi="Times New Roman"/>
          <w:b w:val="0"/>
          <w:color w:val="000000"/>
          <w:sz w:val="24"/>
        </w:rPr>
        <w:t>Temuan kunci yang memperkuat gap: dari 79 artikel included, 28 artikel membahas censoring (D3) dan 2 artikel membahas domain RO (D7), tetapi tidak ada satu pun artikel yang membahas keduanya secara bersamaan. Dengan kata lain, irisan D3 dan D7 berjumlah nol. Ini berarti rezim data yang paling relevan di lapangan, yaitu data tersensor pada membran RO, justru belum pernah diteliti secara langsung.</w:t>
      </w:r>
    </w:p>
    <w:p>
      <w:pPr>
        <w:spacing w:line="360" w:lineRule="auto" w:before="0" w:after="120"/>
        <w:jc w:val="both"/>
      </w:pPr>
      <w:r>
        <w:rPr>
          <w:rFonts w:ascii="Times New Roman" w:hAnsi="Times New Roman"/>
          <w:b/>
          <w:color w:val="000000"/>
          <w:sz w:val="24"/>
        </w:rPr>
        <w:t>5. Diskusi</w:t>
      </w:r>
    </w:p>
    <w:p>
      <w:pPr>
        <w:spacing w:line="360" w:lineRule="auto" w:before="0" w:after="120"/>
        <w:jc w:val="both"/>
      </w:pPr>
      <w:r>
        <w:rPr>
          <w:rFonts w:ascii="Times New Roman" w:hAnsi="Times New Roman"/>
          <w:b/>
          <w:color w:val="000000"/>
          <w:sz w:val="24"/>
        </w:rPr>
        <w:t>5.1 Implikasi</w:t>
      </w:r>
    </w:p>
    <w:p>
      <w:pPr>
        <w:spacing w:line="360" w:lineRule="auto" w:before="0" w:after="120"/>
        <w:jc w:val="both"/>
      </w:pPr>
      <w:r>
        <w:rPr>
          <w:rFonts w:ascii="Times New Roman" w:hAnsi="Times New Roman"/>
          <w:b w:val="0"/>
          <w:color w:val="000000"/>
          <w:sz w:val="24"/>
        </w:rPr>
        <w:t>Peta literatur menunjukkan bahwa metode sadar-censoring untuk RUL sudah tersedia, tetapi aplikasinya pada membran RO sangat terbatas, dan asumsi armada besar tidak selalu berlaku di plant pilot kecil. Kontribusi yang paling dapat dipertahankan bukan sekadar menerapkan metode tertentu ke domain tertentu, melainkan menangani rezim data yang justru dihindari literatur: censoring mendominasi dan jumlah kegagalan mendekati nol.</w:t>
      </w:r>
    </w:p>
    <w:p>
      <w:pPr>
        <w:spacing w:line="360" w:lineRule="auto" w:before="0" w:after="120"/>
        <w:jc w:val="both"/>
      </w:pPr>
      <w:r>
        <w:rPr>
          <w:rFonts w:ascii="Times New Roman" w:hAnsi="Times New Roman"/>
          <w:b/>
          <w:color w:val="000000"/>
          <w:sz w:val="24"/>
        </w:rPr>
        <w:t>5.2 Agenda riset</w:t>
      </w:r>
    </w:p>
    <w:p>
      <w:pPr>
        <w:spacing w:line="360" w:lineRule="auto" w:before="0" w:after="120"/>
        <w:jc w:val="both"/>
      </w:pPr>
      <w:r>
        <w:rPr>
          <w:rFonts w:ascii="Times New Roman" w:hAnsi="Times New Roman"/>
          <w:b w:val="0"/>
          <w:color w:val="000000"/>
          <w:sz w:val="24"/>
        </w:rPr>
        <w:t>Agenda riset ke depan mencakup: definisi endpoint proxy (soft failure) yang standar untuk membran RO; metode identifikasi parameter survival yang jujur pada data all-censored (prior informatif, bentuk dikunci); integrasi hasil RUL ke DSS perawatan berbasis biaya; dan validasi lintas-plant pada armada replikasi.</w:t>
      </w:r>
    </w:p>
    <w:p>
      <w:pPr>
        <w:spacing w:line="360" w:lineRule="auto" w:before="0" w:after="120"/>
        <w:jc w:val="both"/>
      </w:pPr>
      <w:r>
        <w:rPr>
          <w:rFonts w:ascii="Times New Roman" w:hAnsi="Times New Roman"/>
          <w:b/>
          <w:color w:val="000000"/>
          <w:sz w:val="24"/>
        </w:rPr>
        <w:t>5.3 Keterbatasan tinjauan</w:t>
      </w:r>
    </w:p>
    <w:p>
      <w:pPr>
        <w:spacing w:line="360" w:lineRule="auto" w:before="0" w:after="120"/>
        <w:jc w:val="both"/>
      </w:pPr>
      <w:r>
        <w:rPr>
          <w:rFonts w:ascii="Times New Roman" w:hAnsi="Times New Roman"/>
          <w:b w:val="0"/>
          <w:color w:val="000000"/>
          <w:sz w:val="24"/>
        </w:rPr>
        <w:t>Tinjauan ini menggunakan OpenAlex sebagai sumber utama, sehingga artikel yang hanya terindeks di Scopus atau WoS berpotensi tidak tertangkap. Pengambilan 50 hasil teratas per query juga membatasi recall. Selain itu, sebagian ringkasan bersumber dari abstrak. Keterbatasan ini dicatat sebagai ancaman validitas dan menjadi dasar replikasi pada basis data berlangganan.</w:t>
      </w:r>
    </w:p>
    <w:p>
      <w:pPr>
        <w:spacing w:line="360" w:lineRule="auto" w:before="0" w:after="120"/>
        <w:jc w:val="both"/>
      </w:pPr>
      <w:r>
        <w:rPr>
          <w:rFonts w:ascii="Times New Roman" w:hAnsi="Times New Roman"/>
          <w:b/>
          <w:color w:val="000000"/>
          <w:sz w:val="24"/>
        </w:rPr>
        <w:t>6. Kesimpulan</w:t>
      </w:r>
    </w:p>
    <w:p>
      <w:pPr>
        <w:spacing w:line="360" w:lineRule="auto" w:before="0" w:after="120"/>
        <w:jc w:val="both"/>
      </w:pPr>
      <w:r>
        <w:rPr>
          <w:rFonts w:ascii="Times New Roman" w:hAnsi="Times New Roman"/>
          <w:b w:val="0"/>
          <w:color w:val="000000"/>
          <w:sz w:val="24"/>
        </w:rPr>
        <w:t>SLR ini menegaskan adanya celah penelitian yang nyata. Kerangka survival analysis untuk data tersensor dan kapasitas deep learning untuk pemodelan deret waktu telah matang, tetapi konvergensinya pada domain membran reverse osmosis masih sangat terbatas. Dimensi censoring dibahas 28 artikel dan domain RO hanya 2 artikel, namun irisan keduanya nol. Belum ada studi yang secara simultan menggabungkan prediksi RUL membran RO sadar-censoring, kondisi data tanpa kegagalan, skala data kecil, dan integrasi DSS perawatan. Celah inilah yang menjadi dasar penelitian tesis yang diusulkan.</w:t>
      </w:r>
    </w:p>
    <w:p>
      <w:pPr>
        <w:spacing w:line="360" w:lineRule="auto" w:before="0" w:after="120"/>
        <w:jc w:val="both"/>
      </w:pPr>
      <w:r>
        <w:rPr>
          <w:rFonts w:ascii="Times New Roman" w:hAnsi="Times New Roman"/>
          <w:b/>
          <w:color w:val="000000"/>
          <w:sz w:val="24"/>
        </w:rPr>
        <w:t>Daftar Pustaka</w:t>
      </w:r>
    </w:p>
    <w:p>
      <w:pPr>
        <w:spacing w:line="360" w:lineRule="auto" w:before="0" w:after="120"/>
        <w:jc w:val="both"/>
      </w:pPr>
      <w:r>
        <w:rPr>
          <w:rFonts w:ascii="Times New Roman" w:hAnsi="Times New Roman"/>
          <w:b w:val="0"/>
          <w:color w:val="000000"/>
          <w:sz w:val="24"/>
        </w:rPr>
        <w:t>1. Gao, Y., Li, S., Wang, D., Mao, J., &amp; Ouyang, L. (2025). A Neural Network-Based Survival Analysis Model Considering Censored Data for Failure Prediction. IEEE Transactions on Automation Science and Engineering. DOI 10.1109/TASE.2025.3640217.</w:t>
      </w:r>
    </w:p>
    <w:p>
      <w:pPr>
        <w:spacing w:line="360" w:lineRule="auto" w:before="0" w:after="120"/>
        <w:jc w:val="both"/>
      </w:pPr>
      <w:r>
        <w:rPr>
          <w:rFonts w:ascii="Times New Roman" w:hAnsi="Times New Roman"/>
          <w:b w:val="0"/>
          <w:color w:val="000000"/>
          <w:sz w:val="24"/>
        </w:rPr>
        <w:t>2. Alshraideh, H., Al Ali, F., Awad, M., &amp; Al-Othman, A. (2026). AI-based remaining useful life prediction of seawater desalination membranes. Chemical Engineering Journal Advances, 26, 101217. DOI 10.1016/j.ceja.2026.101217.</w:t>
      </w:r>
    </w:p>
    <w:p>
      <w:pPr>
        <w:spacing w:line="360" w:lineRule="auto" w:before="0" w:after="120"/>
        <w:jc w:val="both"/>
      </w:pPr>
      <w:r>
        <w:rPr>
          <w:rFonts w:ascii="Times New Roman" w:hAnsi="Times New Roman"/>
          <w:b w:val="0"/>
          <w:color w:val="000000"/>
          <w:sz w:val="24"/>
        </w:rPr>
        <w:t>3. Noot, J.-P., Martin, M., &amp; Birmelé, E. (2025). LSTM and Transformers based methods for Remaining Useful Life Prediction considering Censored Data. International Journal of Prognostics and Health Management, 16(2). DOI 10.36001/ijphm.2025.v16i2.4260.</w:t>
      </w:r>
    </w:p>
    <w:p>
      <w:pPr>
        <w:spacing w:line="360" w:lineRule="auto" w:before="0" w:after="120"/>
        <w:jc w:val="both"/>
      </w:pPr>
      <w:r>
        <w:rPr>
          <w:rFonts w:ascii="Times New Roman" w:hAnsi="Times New Roman"/>
          <w:b w:val="0"/>
          <w:color w:val="000000"/>
          <w:sz w:val="24"/>
        </w:rPr>
        <w:t>4. Si, X.-S., Wang, W., Hu, C.-H., &amp; Zhou, D.-H. (2011). Remaining Useful Life Estimation - A Review on the Statistical Data Driven Approaches. European Journal of Operational Research, 213(1), 1-14.</w:t>
      </w:r>
    </w:p>
    <w:p>
      <w:pPr>
        <w:spacing w:line="360" w:lineRule="auto" w:before="0" w:after="120"/>
        <w:jc w:val="both"/>
      </w:pPr>
      <w:r>
        <w:rPr>
          <w:rFonts w:ascii="Times New Roman" w:hAnsi="Times New Roman"/>
          <w:b w:val="0"/>
          <w:color w:val="000000"/>
          <w:sz w:val="24"/>
        </w:rPr>
        <w:t>5. Kitchenham, B., &amp; Charters, S. (2007). Guidelines for Performing Systematic Literature Reviews in Software Engineering. EBSE Technical Report.</w:t>
      </w:r>
    </w:p>
    <w:p>
      <w:pPr>
        <w:spacing w:line="360" w:lineRule="auto" w:before="0" w:after="120"/>
        <w:jc w:val="both"/>
      </w:pPr>
      <w:r>
        <w:rPr>
          <w:rFonts w:ascii="Times New Roman" w:hAnsi="Times New Roman"/>
          <w:b w:val="0"/>
          <w:color w:val="000000"/>
          <w:sz w:val="24"/>
        </w:rPr>
        <w:t>6. Page, M. J., dkk. (2021). The PRISMA 2020 statement. BMJ, 372, n71.</w:t>
      </w:r>
    </w:p>
    <w:p>
      <w:pPr>
        <w:spacing w:line="360" w:lineRule="auto" w:before="0" w:after="120"/>
        <w:jc w:val="both"/>
      </w:pPr>
      <w:r>
        <w:rPr>
          <w:rFonts w:ascii="Times New Roman" w:hAnsi="Times New Roman"/>
          <w:b w:val="0"/>
          <w:color w:val="000000"/>
          <w:sz w:val="24"/>
        </w:rPr>
        <w:t>7. Webster, J., &amp; Watson, R. T. (2002). Analyzing the Past to Prepare for the Future: Writing a Literature Review. MIS Quarterly, 26(2), xiii-xxiii.</w:t>
      </w:r>
    </w:p>
    <w:p>
      <w:pPr>
        <w:spacing w:line="360" w:lineRule="auto" w:before="0" w:after="120"/>
        <w:jc w:val="both"/>
      </w:pPr>
      <w:r>
        <w:rPr>
          <w:rFonts w:ascii="Times New Roman" w:hAnsi="Times New Roman"/>
          <w:b w:val="0"/>
          <w:color w:val="000000"/>
          <w:sz w:val="24"/>
        </w:rPr>
        <w:t>8. Wohlin, C. (2014). Guidelines for Snowballing in Systematic Literature Studies. EASE '14.</w:t>
      </w:r>
    </w:p>
    <w:p>
      <w:pPr>
        <w:spacing w:line="360" w:lineRule="auto" w:before="0" w:after="120"/>
        <w:jc w:val="both"/>
      </w:pPr>
      <w:r>
        <w:rPr>
          <w:rFonts w:ascii="Times New Roman" w:hAnsi="Times New Roman"/>
          <w:b w:val="0"/>
          <w:color w:val="000000"/>
          <w:sz w:val="24"/>
        </w:rPr>
        <w:t>9. Drent, C., Kapodistria, S., &amp; Boxma, O. J. (2020). Censored lifetime learning: Optimal Bayesian age-replacement policies. Operations Research Letters, 48(6), 827-834.</w:t>
      </w:r>
    </w:p>
    <w:p>
      <w:pPr>
        <w:spacing w:line="360" w:lineRule="auto" w:before="0" w:after="120"/>
        <w:jc w:val="both"/>
      </w:pPr>
      <w:r>
        <w:rPr>
          <w:rFonts w:ascii="Times New Roman" w:hAnsi="Times New Roman"/>
          <w:b w:val="0"/>
          <w:color w:val="000000"/>
          <w:sz w:val="24"/>
        </w:rPr>
        <w:t>10. Li, C.-S., Taylor, J. M. G., &amp; Sy, J. P. (2001). Identifiability of cure models. Statistics &amp; Probability Letters, 54(4), 389-395.</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