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A5C"/>
          <w:sz w:val="32"/>
          <w:szCs w:val="32"/>
        </w:rPr>
        <w:t xml:space="preserve">UNIVERSIDADE FEDERAL DE MATO GROSSO</w:t>
      </w:r>
    </w:p>
    <w:p>
      <w:pPr>
        <w:spacing w:after="100"/>
        <w:jc w:val="center"/>
      </w:pPr>
      <w:r>
        <w:rPr>
          <w:rFonts w:ascii="Arial" w:cs="Arial" w:eastAsia="Arial" w:hAnsi="Arial"/>
          <w:color w:val="555555"/>
          <w:sz w:val="28"/>
          <w:szCs w:val="28"/>
        </w:rPr>
        <w:t xml:space="preserve">Documento de Requisitos de Software</w:t>
      </w:r>
    </w:p>
    <w:p>
      <w:pPr>
        <w:spacing w:after="200"/>
      </w:pPr>
    </w:p>
    <w:p>
      <w:pPr>
        <w:spacing w:after="80"/>
        <w:jc w:val="center"/>
      </w:pPr>
      <w:r>
        <w:rPr>
          <w:rFonts w:ascii="Arial" w:cs="Arial" w:eastAsia="Arial" w:hAnsi="Arial"/>
          <w:b/>
          <w:bCs/>
          <w:color w:val="2E75B6"/>
          <w:sz w:val="52"/>
          <w:szCs w:val="52"/>
        </w:rPr>
        <w:t xml:space="preserve">SIGALM</w:t>
      </w:r>
    </w:p>
    <w:p>
      <w:pPr>
        <w:spacing w:after="300"/>
        <w:jc w:val="center"/>
      </w:pPr>
      <w:r>
        <w:rPr>
          <w:rFonts w:ascii="Arial" w:cs="Arial" w:eastAsia="Arial" w:hAnsi="Arial"/>
          <w:color w:val="1A1A1A"/>
          <w:sz w:val="28"/>
          <w:szCs w:val="28"/>
        </w:rPr>
        <w:t xml:space="preserve">Sistema de Gerenciamento de Almoxarifado</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Documento</w:t>
            </w:r>
          </w:p>
        </w:tc>
        <w:tc>
          <w:tcPr>
            <w:tcW w:type="dxa" w:w="6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DRS-SIGALM-UFMT</w:t>
            </w:r>
          </w:p>
        </w:tc>
      </w:tr>
      <w:tr>
        <w:tc>
          <w:tcPr>
            <w:tcW w:type="dxa" w:w="28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Sistema</w:t>
            </w:r>
          </w:p>
        </w:tc>
        <w:tc>
          <w:tcPr>
            <w:tcW w:type="dxa" w:w="6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Sistema de Gerenciamento de Almoxarifado (SIGALM)</w:t>
            </w:r>
          </w:p>
        </w:tc>
      </w:tr>
      <w:tr>
        <w:tc>
          <w:tcPr>
            <w:tcW w:type="dxa" w:w="28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Instituição</w:t>
            </w:r>
          </w:p>
        </w:tc>
        <w:tc>
          <w:tcPr>
            <w:tcW w:type="dxa" w:w="6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Universidade Federal de Mato Grosso (UFMT)</w:t>
            </w:r>
          </w:p>
        </w:tc>
      </w:tr>
      <w:tr>
        <w:tc>
          <w:tcPr>
            <w:tcW w:type="dxa" w:w="28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Versão</w:t>
            </w:r>
          </w:p>
        </w:tc>
        <w:tc>
          <w:tcPr>
            <w:tcW w:type="dxa" w:w="6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28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Data</w:t>
            </w:r>
          </w:p>
        </w:tc>
        <w:tc>
          <w:tcPr>
            <w:tcW w:type="dxa" w:w="6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27/03/2026</w:t>
            </w:r>
          </w:p>
        </w:tc>
      </w:tr>
      <w:tr>
        <w:tc>
          <w:tcPr>
            <w:tcW w:type="dxa" w:w="28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Classificação</w:t>
            </w:r>
          </w:p>
        </w:tc>
        <w:tc>
          <w:tcPr>
            <w:tcW w:type="dxa" w:w="6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Documento Técnico — Restrito</w:t>
            </w:r>
          </w:p>
        </w:tc>
      </w:tr>
    </w:tbl>
    <w:p>
      <w:pPr>
        <w:spacing w:after="200"/>
      </w:pPr>
    </w:p>
    <w:p>
      <w:pPr>
        <w:pStyle w:val="Heading2"/>
      </w:pPr>
      <w:r>
        <w:t xml:space="preserve">Histórico de Revisões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226"/>
      </w:tblGrid>
      <w:tr>
        <w:tc>
          <w:tcPr>
            <w:tcW w:type="dxa" w:w="12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Versão</w:t>
            </w:r>
          </w:p>
        </w:tc>
        <w:tc>
          <w:tcPr>
            <w:tcW w:type="dxa" w:w="12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Data</w:t>
            </w:r>
          </w:p>
        </w:tc>
        <w:tc>
          <w:tcPr>
            <w:tcW w:type="dxa" w:w="24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Autor</w:t>
            </w:r>
          </w:p>
        </w:tc>
        <w:tc>
          <w:tcPr>
            <w:tcW w:type="dxa" w:w="4226"/>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Descrição</w:t>
            </w:r>
          </w:p>
        </w:tc>
      </w:tr>
      <w:tr>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2026</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Equipe SIGALM</w:t>
            </w:r>
          </w:p>
        </w:tc>
        <w:tc>
          <w:tcPr>
            <w:tcW w:type="dxa" w:w="4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Versão inicial do DRS</w:t>
            </w:r>
          </w:p>
        </w:tc>
      </w:tr>
      <w:tr>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2.0</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27/03/2026</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Equipe SIGALM</w:t>
            </w:r>
          </w:p>
        </w:tc>
        <w:tc>
          <w:tcPr>
            <w:tcW w:type="dxa" w:w="42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Revisão com análise crítica: lacunas, fluxos de exceção, resiliência, FEFO, Gov.br, assinatura eletrônica, WORM, migração</w:t>
            </w:r>
          </w:p>
        </w:tc>
      </w:tr>
    </w:tbl>
    <w:p>
      <w:r>
        <w:br w:type="page"/>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Introdução</w:t>
      </w:r>
    </w:p>
    <w:p>
      <w:pPr>
        <w:pStyle w:val="Heading2"/>
      </w:pPr>
      <w:r>
        <w:t xml:space="preserve">1.1 Propósito</w:t>
      </w:r>
    </w:p>
    <w:p>
      <w:pPr>
        <w:spacing w:after="120"/>
      </w:pPr>
      <w:r>
        <w:t xml:space="preserve">Este documento especifica os requisitos de software para o Sistema de Gerenciamento de Almoxarifado (SIGALM) da Universidade Federal de Mato Grosso. O objetivo é fornecer uma descrição clara, completa e inequívoca das funcionalidades, regras de negócio e restrições técnicas do sistema, servindo como base formal para as fases de design, desenvolvimento, testes e homologação.</w:t>
      </w:r>
    </w:p>
    <w:p>
      <w:pPr>
        <w:pStyle w:val="Heading2"/>
      </w:pPr>
      <w:r>
        <w:t xml:space="preserve">1.2 Escopo</w:t>
      </w:r>
    </w:p>
    <w:p>
      <w:pPr>
        <w:spacing w:after="120"/>
      </w:pPr>
      <w:r>
        <w:t xml:space="preserve">O sistema fará a gestão completa do ciclo de vida de materiais e serviços estocáveis e não estocáveis da UFMT. O escopo abrange:</w:t>
      </w:r>
    </w:p>
    <w:p>
      <w:pPr>
        <w:pStyle w:val="ListParagraph"/>
        <w:numPr>
          <w:ilvl w:val="0"/>
          <w:numId w:val="2"/>
        </w:numPr>
        <w:spacing w:after="60"/>
      </w:pPr>
      <w:r>
        <w:rPr>
          <w:rFonts w:ascii="Arial" w:cs="Arial" w:eastAsia="Arial" w:hAnsi="Arial"/>
          <w:sz w:val="22"/>
          <w:szCs w:val="22"/>
        </w:rPr>
        <w:t xml:space="preserve">Catalogação estruturada integrada a padrões federais (CATMAT/CATSER)</w:t>
      </w:r>
    </w:p>
    <w:p>
      <w:pPr>
        <w:pStyle w:val="ListParagraph"/>
        <w:numPr>
          <w:ilvl w:val="0"/>
          <w:numId w:val="2"/>
        </w:numPr>
        <w:spacing w:after="60"/>
      </w:pPr>
      <w:r>
        <w:rPr>
          <w:rFonts w:ascii="Arial" w:cs="Arial" w:eastAsia="Arial" w:hAnsi="Arial"/>
          <w:sz w:val="22"/>
          <w:szCs w:val="22"/>
        </w:rPr>
        <w:t xml:space="preserve">Controle rigoroso de múltiplas instâncias de estoque (centrais e setoriais)</w:t>
      </w:r>
    </w:p>
    <w:p>
      <w:pPr>
        <w:pStyle w:val="ListParagraph"/>
        <w:numPr>
          <w:ilvl w:val="0"/>
          <w:numId w:val="2"/>
        </w:numPr>
        <w:spacing w:after="60"/>
      </w:pPr>
      <w:r>
        <w:rPr>
          <w:rFonts w:ascii="Arial" w:cs="Arial" w:eastAsia="Arial" w:hAnsi="Arial"/>
          <w:sz w:val="22"/>
          <w:szCs w:val="22"/>
        </w:rPr>
        <w:t xml:space="preserve">Fluxos de entrada e saída com validação orçamentária e conciliação de empenho</w:t>
      </w:r>
    </w:p>
    <w:p>
      <w:pPr>
        <w:pStyle w:val="ListParagraph"/>
        <w:numPr>
          <w:ilvl w:val="0"/>
          <w:numId w:val="2"/>
        </w:numPr>
        <w:spacing w:after="60"/>
      </w:pPr>
      <w:r>
        <w:rPr>
          <w:rFonts w:ascii="Arial" w:cs="Arial" w:eastAsia="Arial" w:hAnsi="Arial"/>
          <w:sz w:val="22"/>
          <w:szCs w:val="22"/>
        </w:rPr>
        <w:t xml:space="preserve">Gestão de validade e perecibilidade com política FEFO</w:t>
      </w:r>
    </w:p>
    <w:p>
      <w:pPr>
        <w:pStyle w:val="ListParagraph"/>
        <w:numPr>
          <w:ilvl w:val="0"/>
          <w:numId w:val="2"/>
        </w:numPr>
        <w:spacing w:after="60"/>
      </w:pPr>
      <w:r>
        <w:rPr>
          <w:rFonts w:ascii="Arial" w:cs="Arial" w:eastAsia="Arial" w:hAnsi="Arial"/>
          <w:sz w:val="22"/>
          <w:szCs w:val="22"/>
        </w:rPr>
        <w:t xml:space="preserve">Ajustes de liquidação (glosas) com rastreabilidade imutável</w:t>
      </w:r>
    </w:p>
    <w:p>
      <w:pPr>
        <w:pStyle w:val="ListParagraph"/>
        <w:numPr>
          <w:ilvl w:val="0"/>
          <w:numId w:val="2"/>
        </w:numPr>
        <w:spacing w:after="60"/>
      </w:pPr>
      <w:r>
        <w:rPr>
          <w:rFonts w:ascii="Arial" w:cs="Arial" w:eastAsia="Arial" w:hAnsi="Arial"/>
          <w:sz w:val="22"/>
          <w:szCs w:val="22"/>
        </w:rPr>
        <w:t xml:space="preserve">Integrações externas (Comprasnet, SIORG, Gov.br, Gov.br Assinatura)</w:t>
      </w:r>
    </w:p>
    <w:p>
      <w:pPr>
        <w:pStyle w:val="ListParagraph"/>
        <w:numPr>
          <w:ilvl w:val="0"/>
          <w:numId w:val="2"/>
        </w:numPr>
        <w:spacing w:after="60"/>
      </w:pPr>
      <w:r>
        <w:rPr>
          <w:rFonts w:ascii="Arial" w:cs="Arial" w:eastAsia="Arial" w:hAnsi="Arial"/>
          <w:sz w:val="22"/>
          <w:szCs w:val="22"/>
        </w:rPr>
        <w:t xml:space="preserve">Portal de Transparência e auditoria de segurança avançada</w:t>
      </w:r>
    </w:p>
    <w:p>
      <w:pPr>
        <w:pStyle w:val="ListParagraph"/>
        <w:numPr>
          <w:ilvl w:val="0"/>
          <w:numId w:val="2"/>
        </w:numPr>
        <w:spacing w:after="60"/>
      </w:pPr>
      <w:r>
        <w:rPr>
          <w:rFonts w:ascii="Arial" w:cs="Arial" w:eastAsia="Arial" w:hAnsi="Arial"/>
          <w:sz w:val="22"/>
          <w:szCs w:val="22"/>
        </w:rPr>
        <w:t xml:space="preserve">Ferramentas de migração e carga inicial de dados legados</w:t>
      </w:r>
    </w:p>
    <w:p>
      <w:pPr>
        <w:spacing w:after="80"/>
      </w:pPr>
    </w:p>
    <w:p>
      <w:pPr>
        <w:pStyle w:val="Heading3"/>
      </w:pPr>
      <w:r>
        <w:t xml:space="preserve">1.2.1 Exclusões de Escopo</w:t>
      </w:r>
    </w:p>
    <w:p>
      <w:pPr>
        <w:pStyle w:val="ListParagraph"/>
        <w:numPr>
          <w:ilvl w:val="0"/>
          <w:numId w:val="2"/>
        </w:numPr>
        <w:spacing w:after="60"/>
      </w:pPr>
      <w:r>
        <w:rPr>
          <w:rFonts w:ascii="Arial" w:cs="Arial" w:eastAsia="Arial" w:hAnsi="Arial"/>
          <w:sz w:val="22"/>
          <w:szCs w:val="22"/>
        </w:rPr>
        <w:t xml:space="preserve">Gestão financeira primária (o sistema consome dados de empenho, não os gera)</w:t>
      </w:r>
    </w:p>
    <w:p>
      <w:pPr>
        <w:pStyle w:val="ListParagraph"/>
        <w:numPr>
          <w:ilvl w:val="0"/>
          <w:numId w:val="2"/>
        </w:numPr>
        <w:spacing w:after="60"/>
      </w:pPr>
      <w:r>
        <w:rPr>
          <w:rFonts w:ascii="Arial" w:cs="Arial" w:eastAsia="Arial" w:hAnsi="Arial"/>
          <w:sz w:val="22"/>
          <w:szCs w:val="22"/>
        </w:rPr>
        <w:t xml:space="preserve">Gestão patrimonial de bens permanentes (tombamento, plaqueta). Materiais classificados como permanentes são registrados no catálogo mas, após entrada, devem ser encaminhados ao sistema patrimonial da instituição</w:t>
      </w:r>
    </w:p>
    <w:p>
      <w:pPr>
        <w:spacing w:after="80"/>
      </w:pPr>
    </w:p>
    <w:p>
      <w:pPr>
        <w:pStyle w:val="Heading2"/>
      </w:pPr>
      <w:r>
        <w:t xml:space="preserve">1.3 Referências Normativas</w:t>
      </w:r>
    </w:p>
    <w:p>
      <w:pPr>
        <w:pStyle w:val="ListParagraph"/>
        <w:numPr>
          <w:ilvl w:val="0"/>
          <w:numId w:val="2"/>
        </w:numPr>
        <w:spacing w:after="60"/>
      </w:pPr>
      <w:r>
        <w:rPr>
          <w:rFonts w:ascii="Arial" w:cs="Arial" w:eastAsia="Arial" w:hAnsi="Arial"/>
          <w:sz w:val="22"/>
          <w:szCs w:val="22"/>
        </w:rPr>
        <w:t xml:space="preserve">Lei nº 4.320/1964 — Normas Gerais de Direito Financeiro</w:t>
      </w:r>
    </w:p>
    <w:p>
      <w:pPr>
        <w:pStyle w:val="ListParagraph"/>
        <w:numPr>
          <w:ilvl w:val="0"/>
          <w:numId w:val="2"/>
        </w:numPr>
        <w:spacing w:after="60"/>
      </w:pPr>
      <w:r>
        <w:rPr>
          <w:rFonts w:ascii="Arial" w:cs="Arial" w:eastAsia="Arial" w:hAnsi="Arial"/>
          <w:sz w:val="22"/>
          <w:szCs w:val="22"/>
        </w:rPr>
        <w:t xml:space="preserve">Lei nº 14.133/2021 — Lei de Licitações e Contratos Administrativos</w:t>
      </w:r>
    </w:p>
    <w:p>
      <w:pPr>
        <w:pStyle w:val="ListParagraph"/>
        <w:numPr>
          <w:ilvl w:val="0"/>
          <w:numId w:val="2"/>
        </w:numPr>
        <w:spacing w:after="60"/>
      </w:pPr>
      <w:r>
        <w:rPr>
          <w:rFonts w:ascii="Arial" w:cs="Arial" w:eastAsia="Arial" w:hAnsi="Arial"/>
          <w:sz w:val="22"/>
          <w:szCs w:val="22"/>
        </w:rPr>
        <w:t xml:space="preserve">IN SGD/ME nº 94/2022 — Contratação de TIC</w:t>
      </w:r>
    </w:p>
    <w:p>
      <w:pPr>
        <w:pStyle w:val="ListParagraph"/>
        <w:numPr>
          <w:ilvl w:val="0"/>
          <w:numId w:val="2"/>
        </w:numPr>
        <w:spacing w:after="60"/>
      </w:pPr>
      <w:r>
        <w:rPr>
          <w:rFonts w:ascii="Arial" w:cs="Arial" w:eastAsia="Arial" w:hAnsi="Arial"/>
          <w:sz w:val="22"/>
          <w:szCs w:val="22"/>
        </w:rPr>
        <w:t xml:space="preserve">Decreto nº 5.296/2004 — Acessibilidade</w:t>
      </w:r>
    </w:p>
    <w:p>
      <w:pPr>
        <w:pStyle w:val="ListParagraph"/>
        <w:numPr>
          <w:ilvl w:val="0"/>
          <w:numId w:val="2"/>
        </w:numPr>
        <w:spacing w:after="60"/>
      </w:pPr>
      <w:r>
        <w:rPr>
          <w:rFonts w:ascii="Arial" w:cs="Arial" w:eastAsia="Arial" w:hAnsi="Arial"/>
          <w:sz w:val="22"/>
          <w:szCs w:val="22"/>
        </w:rPr>
        <w:t xml:space="preserve">eMAG 3.1 — Modelo de Acessibilidade de Governo Eletrônico</w:t>
      </w:r>
    </w:p>
    <w:p>
      <w:pPr>
        <w:pStyle w:val="ListParagraph"/>
        <w:numPr>
          <w:ilvl w:val="0"/>
          <w:numId w:val="2"/>
        </w:numPr>
        <w:spacing w:after="60"/>
      </w:pPr>
      <w:r>
        <w:rPr>
          <w:rFonts w:ascii="Arial" w:cs="Arial" w:eastAsia="Arial" w:hAnsi="Arial"/>
          <w:sz w:val="22"/>
          <w:szCs w:val="22"/>
        </w:rPr>
        <w:t xml:space="preserve">WCAG 2.1 Nível AA</w:t>
      </w:r>
    </w:p>
    <w:p>
      <w:pPr>
        <w:pStyle w:val="ListParagraph"/>
        <w:numPr>
          <w:ilvl w:val="0"/>
          <w:numId w:val="2"/>
        </w:numPr>
        <w:spacing w:after="60"/>
      </w:pPr>
      <w:r>
        <w:rPr>
          <w:rFonts w:ascii="Arial" w:cs="Arial" w:eastAsia="Arial" w:hAnsi="Arial"/>
          <w:sz w:val="22"/>
          <w:szCs w:val="22"/>
        </w:rPr>
        <w:t xml:space="preserve">Normativos CGU/TCU aplicáveis à gestão de almoxarifado e suprimentos</w:t>
      </w:r>
    </w:p>
    <w:p>
      <w:r>
        <w:br w:type="page"/>
      </w:r>
    </w:p>
    <w:p>
      <w:pPr>
        <w:pStyle w:val="Heading1"/>
      </w:pPr>
      <w:r>
        <w:t xml:space="preserve">2. Definições e Siglas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Sigla</w:t>
            </w:r>
          </w:p>
        </w:tc>
        <w:tc>
          <w:tcPr>
            <w:tcW w:type="dxa" w:w="6826"/>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Definição</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CATMAT</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Catálogo de Materiais do Governo Federal</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CATSER</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Catálogo de Serviços do Governo Federal</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Comprasnet</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Portal de Compras do Governo Federal (SIASG)</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Empenho</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Reserva de dotação orçamentária para um fim específico</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eMAG</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Modelo de Acessibilidade de Governo Eletrônico</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FEFO</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First Expired, First Out — política de saída por validade</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FIFO</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First In, First Out — política de saída por ordem de entrada</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Gov.br</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Plataforma de identidade digital do Governo Federal</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ICP-Brasil</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Infraestrutura de Chaves Públicas Brasileira</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MFA</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Multi-Factor Authentication — Autenticação de Múltiplos Fatores</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OS</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Ordem de Serviço</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P95</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Percentil 95 — métrica de latência (95% das requisições abaixo do valor)</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RBAC</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Role-Based Access Control — Controle de Acesso Baseado em Papéis</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RPO</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Recovery Point Objective — perda máxima de dados aceitável</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RTO</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Recovery Time Objective — tempo máximo para restauração</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SEI</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Sistema Eletrônico de Informações (Gestão de Processos)</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SIORG</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Sistema de Informações Organizacionais do Governo Federal</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SLA</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Service Level Agreement — Acordo de Nível de Serviço</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TOTP</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Time-based One-Time Password</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WORM</w:t>
            </w:r>
          </w:p>
        </w:tc>
        <w:tc>
          <w:tcPr>
            <w:tcW w:type="dxa" w:w="6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Write Once, Read Many — armazenamento imutável</w:t>
            </w:r>
          </w:p>
        </w:tc>
      </w:tr>
    </w:tbl>
    <w:p>
      <w:r>
        <w:br w:type="page"/>
      </w:r>
    </w:p>
    <w:p>
      <w:pPr>
        <w:pStyle w:val="Heading1"/>
      </w:pPr>
      <w:r>
        <w:t xml:space="preserve">3.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c>
          <w:tcPr>
            <w:tcW w:type="dxa" w:w="26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Stakeholder</w:t>
            </w:r>
          </w:p>
        </w:tc>
        <w:tc>
          <w:tcPr>
            <w:tcW w:type="dxa" w:w="36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Responsabilidade</w:t>
            </w:r>
          </w:p>
        </w:tc>
        <w:tc>
          <w:tcPr>
            <w:tcW w:type="dxa" w:w="2826"/>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Contexto</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Gestores de Almoxarifado</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Operação, entrada, transferência, inventário, desfazimento</w:t>
            </w:r>
          </w:p>
        </w:tc>
        <w:tc>
          <w:tcPr>
            <w:tcW w:type="dxa" w:w="2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Central e Setorial</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Requisitantes</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Solicitação de materiais para seus setores</w:t>
            </w:r>
          </w:p>
        </w:tc>
        <w:tc>
          <w:tcPr>
            <w:tcW w:type="dxa" w:w="2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Unidades Organizacionais</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Equipe de Compras</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Consumidores de alertas de estoque para novos certames</w:t>
            </w:r>
          </w:p>
        </w:tc>
        <w:tc>
          <w:tcPr>
            <w:tcW w:type="dxa" w:w="2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Licitação</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Órgãos de Controle</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Consumidores de logs, relatórios e dados de transparência</w:t>
            </w:r>
          </w:p>
        </w:tc>
        <w:tc>
          <w:tcPr>
            <w:tcW w:type="dxa" w:w="2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CGU/TCU/Auditoria Interna</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Cidadãos</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Usuários do Portal de Transparência Público</w:t>
            </w:r>
          </w:p>
        </w:tc>
        <w:tc>
          <w:tcPr>
            <w:tcW w:type="dxa" w:w="2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Público externo</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Equipe de TI/Suporte</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Administração, monitoramento, integrações e incidentes</w:t>
            </w:r>
          </w:p>
        </w:tc>
        <w:tc>
          <w:tcPr>
            <w:tcW w:type="dxa" w:w="28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DTI/UFMT</w:t>
            </w:r>
          </w:p>
        </w:tc>
      </w:tr>
    </w:tbl>
    <w:p>
      <w:pPr>
        <w:spacing w:after="120"/>
      </w:pPr>
    </w:p>
    <w:p>
      <w:pPr>
        <w:pStyle w:val="Heading1"/>
      </w:pPr>
      <w:r>
        <w:t xml:space="preserve">4. Visão Geral do Sistema</w:t>
      </w:r>
    </w:p>
    <w:p>
      <w:pPr>
        <w:spacing w:after="120"/>
      </w:pPr>
      <w:r>
        <w:t xml:space="preserve">A solução é um sistema web responsivo, projetado sob uma arquitetura Zero Trust, que centraliza e automatiza a logística de suprimentos da UFMT. O sistema atua de forma:</w:t>
      </w:r>
    </w:p>
    <w:p>
      <w:pPr>
        <w:pStyle w:val="ListParagraph"/>
        <w:numPr>
          <w:ilvl w:val="0"/>
          <w:numId w:val="2"/>
        </w:numPr>
        <w:spacing w:after="60"/>
      </w:pPr>
      <w:r>
        <w:rPr>
          <w:b/>
          <w:bCs/>
        </w:rPr>
        <w:t xml:space="preserve">Preventiva: </w:t>
      </w:r>
      <w:r>
        <w:t xml:space="preserve">evitando entradas divergentes de empenhos e distribuição de lotes vencidos</w:t>
      </w:r>
    </w:p>
    <w:p>
      <w:pPr>
        <w:pStyle w:val="ListParagraph"/>
        <w:numPr>
          <w:ilvl w:val="0"/>
          <w:numId w:val="2"/>
        </w:numPr>
        <w:spacing w:after="60"/>
      </w:pPr>
      <w:r>
        <w:rPr>
          <w:b/>
          <w:bCs/>
        </w:rPr>
        <w:t xml:space="preserve">Proativa: </w:t>
      </w:r>
      <w:r>
        <w:t xml:space="preserve">alertando sobre estoques críticos e vencimentos próximos</w:t>
      </w:r>
    </w:p>
    <w:p>
      <w:pPr>
        <w:pStyle w:val="ListParagraph"/>
        <w:numPr>
          <w:ilvl w:val="0"/>
          <w:numId w:val="2"/>
        </w:numPr>
        <w:spacing w:after="60"/>
      </w:pPr>
      <w:r>
        <w:rPr>
          <w:b/>
          <w:bCs/>
        </w:rPr>
        <w:t xml:space="preserve">Resiliente: </w:t>
      </w:r>
      <w:r>
        <w:t xml:space="preserve">operando em modo degradado quando integrações externas estiverem indisponíveis</w:t>
      </w:r>
    </w:p>
    <w:p>
      <w:pPr>
        <w:spacing w:after="120"/>
      </w:pPr>
      <w:r>
        <w:t xml:space="preserve">Toda movimentação física de material possui respaldo documental, orçamentário e rastreabilidade total, com logs protegidos por encadeamento criptográfico contra adulteração. Documentos com responsabilidade patrimonial (Termos de Desfazimento, Inventário) são assinados eletronicamente com validade jurídica.</w:t>
      </w:r>
    </w:p>
    <w:p>
      <w:r>
        <w:br w:type="page"/>
      </w:r>
    </w:p>
    <w:p>
      <w:pPr>
        <w:pStyle w:val="Heading1"/>
      </w:pPr>
      <w:r>
        <w:t xml:space="preserve">5. Requisitos Funcionais (RF)</w:t>
      </w:r>
    </w:p>
    <w:p>
      <w:pPr>
        <w:spacing w:after="120"/>
      </w:pPr>
      <w:r>
        <w:rPr>
          <w:i/>
          <w:iCs/>
        </w:rPr>
        <w:t xml:space="preserve">Prioridade: M = Must | S = Should | C = Could (MoSCoW)</w:t>
      </w:r>
    </w:p>
    <w:p>
      <w:pPr>
        <w:spacing w:after="60"/>
      </w:pPr>
    </w:p>
    <w:p>
      <w:pPr>
        <w:pStyle w:val="Heading2"/>
      </w:pPr>
      <w:r>
        <w:t xml:space="preserve">5.1 Módulo de Catálogo e Estrutura de Materiais</w:t>
      </w:r>
    </w:p>
    <w:p>
      <w:pPr>
        <w:spacing w:after="120"/>
      </w:pPr>
      <w:r>
        <w:rPr>
          <w:rFonts w:ascii="Arial" w:cs="Arial" w:eastAsia="Arial" w:hAnsi="Arial"/>
          <w:b/>
          <w:bCs/>
          <w:color w:val="1B3A5C"/>
          <w:sz w:val="22"/>
          <w:szCs w:val="22"/>
        </w:rPr>
        <w:t xml:space="preserve">RF-001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o cadastro e a gestão de Elementos de Despesa (Classificação Orçamentária).</w:t>
      </w:r>
    </w:p>
    <w:p>
      <w:pPr>
        <w:spacing w:after="120"/>
      </w:pPr>
      <w:r>
        <w:rPr>
          <w:rFonts w:ascii="Arial" w:cs="Arial" w:eastAsia="Arial" w:hAnsi="Arial"/>
          <w:b/>
          <w:bCs/>
          <w:color w:val="1B3A5C"/>
          <w:sz w:val="22"/>
          <w:szCs w:val="22"/>
        </w:rPr>
        <w:t xml:space="preserve">RF-002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a criação de Grupos de Materiais em estrutura hierárquica, vinculando-os a um Elemento de Despesa e classificando-os como Material ou Serviço.</w:t>
      </w:r>
    </w:p>
    <w:p>
      <w:pPr>
        <w:spacing w:after="120"/>
      </w:pPr>
      <w:r>
        <w:rPr>
          <w:rFonts w:ascii="Arial" w:cs="Arial" w:eastAsia="Arial" w:hAnsi="Arial"/>
          <w:b/>
          <w:bCs/>
          <w:color w:val="1B3A5C"/>
          <w:sz w:val="22"/>
          <w:szCs w:val="22"/>
        </w:rPr>
        <w:t xml:space="preserve">RF-003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o cadastro de Itens (produtos/serviços) contendo: código CATMAT/CATSER, descrição, especificações, valor estimado, fotos (armazenamento local com limite de 5MB por imagem, formatos JPEG/PNG), curva ABC (calculada ou override manual), criticidade, sazonalidade, classificação de consumo/permanente, indicador de estocagem, tempo de prateleira/validade e controle de lote.</w:t>
      </w:r>
    </w:p>
    <w:p>
      <w:pPr>
        <w:spacing w:after="120"/>
      </w:pPr>
      <w:r>
        <w:rPr>
          <w:rFonts w:ascii="Arial" w:cs="Arial" w:eastAsia="Arial" w:hAnsi="Arial"/>
          <w:b/>
          <w:bCs/>
          <w:color w:val="1B3A5C"/>
          <w:sz w:val="22"/>
          <w:szCs w:val="22"/>
        </w:rPr>
        <w:t xml:space="preserve">RF-004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a definição de Tabelas de Unidade de Conversão matemática para cada item, parametrizando o fator multiplicador entre a unidade de entrada (ex: caixa) e a unidade de distribuição (ex: unidade). Quantidades fracionárias resultantes da conversão devem ser rejeitadas com mensagem explícita ao operador.</w:t>
      </w:r>
    </w:p>
    <w:p>
      <w:pPr>
        <w:spacing w:after="120"/>
      </w:pPr>
      <w:r>
        <w:rPr>
          <w:rFonts w:ascii="Arial" w:cs="Arial" w:eastAsia="Arial" w:hAnsi="Arial"/>
          <w:b/>
          <w:bCs/>
          <w:color w:val="1B3A5C"/>
          <w:sz w:val="22"/>
          <w:szCs w:val="22"/>
        </w:rPr>
        <w:t xml:space="preserve">RF-005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realizar a conversão automática das quantidades físicas recebidas para as quantidades de distribuição, conforme a tabela de conversão do item (RF-004), rejeitando operações que resultem em valores não inteiros.</w:t>
      </w:r>
    </w:p>
    <w:p>
      <w:pPr>
        <w:spacing w:after="120"/>
      </w:pPr>
      <w:r>
        <w:rPr>
          <w:rFonts w:ascii="Arial" w:cs="Arial" w:eastAsia="Arial" w:hAnsi="Arial"/>
          <w:b/>
          <w:bCs/>
          <w:color w:val="1B3A5C"/>
          <w:sz w:val="22"/>
          <w:szCs w:val="22"/>
        </w:rPr>
        <w:t xml:space="preserve">RF-006 </w:t>
      </w:r>
      <w:r>
        <w:rPr>
          <w:rFonts w:ascii="Arial" w:cs="Arial" w:eastAsia="Arial" w:hAnsi="Arial"/>
          <w:b/>
          <w:bCs/>
          <w:color w:val="555555"/>
          <w:sz w:val="20"/>
          <w:szCs w:val="20"/>
        </w:rPr>
        <w:t xml:space="preserve">[S] </w:t>
      </w:r>
      <w:r>
        <w:rPr>
          <w:rFonts w:ascii="Arial" w:cs="Arial" w:eastAsia="Arial" w:hAnsi="Arial"/>
          <w:sz w:val="22"/>
          <w:szCs w:val="22"/>
        </w:rPr>
        <w:t xml:space="preserve">O sistema deve calcular periodicamente (configurável: semanal/mensal) a Curva ABC com base no histórico real de consumo (valor e frequência), permitindo override manual com justificativa registrada em log.</w:t>
      </w:r>
    </w:p>
    <w:p>
      <w:pPr>
        <w:spacing w:after="60"/>
      </w:pPr>
    </w:p>
    <w:p>
      <w:pPr>
        <w:pStyle w:val="Heading2"/>
      </w:pPr>
      <w:r>
        <w:t xml:space="preserve">5.2 Controle de Estoque e Movimentação</w:t>
      </w:r>
    </w:p>
    <w:p>
      <w:pPr>
        <w:spacing w:after="120"/>
      </w:pPr>
      <w:r>
        <w:rPr>
          <w:rFonts w:ascii="Arial" w:cs="Arial" w:eastAsia="Arial" w:hAnsi="Arial"/>
          <w:b/>
          <w:bCs/>
          <w:color w:val="1B3A5C"/>
          <w:sz w:val="22"/>
          <w:szCs w:val="22"/>
        </w:rPr>
        <w:t xml:space="preserve">RF-007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o cadastro e a distinção de Almoxarifados em dois tipos: Central e Setorial.</w:t>
      </w:r>
    </w:p>
    <w:p>
      <w:pPr>
        <w:spacing w:after="120"/>
      </w:pPr>
      <w:r>
        <w:rPr>
          <w:rFonts w:ascii="Arial" w:cs="Arial" w:eastAsia="Arial" w:hAnsi="Arial"/>
          <w:b/>
          <w:bCs/>
          <w:color w:val="1B3A5C"/>
          <w:sz w:val="22"/>
          <w:szCs w:val="22"/>
        </w:rPr>
        <w:t xml:space="preserve">RF-008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registrar a Entrada de Materiais por Compra/Empenho, exigindo Nota Fiscal, Número do Empenho, Fornecedor, Quantidade, Valor e data de recebimento.</w:t>
      </w:r>
    </w:p>
    <w:p>
      <w:pPr>
        <w:spacing w:after="120"/>
      </w:pPr>
      <w:r>
        <w:rPr>
          <w:rFonts w:ascii="Arial" w:cs="Arial" w:eastAsia="Arial" w:hAnsi="Arial"/>
          <w:b/>
          <w:bCs/>
          <w:color w:val="1B3A5C"/>
          <w:sz w:val="22"/>
          <w:szCs w:val="22"/>
        </w:rPr>
        <w:t xml:space="preserve">RF-009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registrar a Entrada Avulsa (doação, cessão, etc.), exigindo Origem (CPF/CNPJ), descrição, quantidade, valor estimado e data.</w:t>
      </w:r>
    </w:p>
    <w:p>
      <w:pPr>
        <w:spacing w:after="120"/>
      </w:pPr>
      <w:r>
        <w:rPr>
          <w:rFonts w:ascii="Arial" w:cs="Arial" w:eastAsia="Arial" w:hAnsi="Arial"/>
          <w:b/>
          <w:bCs/>
          <w:color w:val="1B3A5C"/>
          <w:sz w:val="22"/>
          <w:szCs w:val="22"/>
        </w:rPr>
        <w:t xml:space="preserve">RF-010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registrar a Entrada por Devolução de OS, vinculando o número da OS, itens, estado de conservação e justificativa para reincorporação.</w:t>
      </w:r>
    </w:p>
    <w:p>
      <w:pPr>
        <w:spacing w:after="120"/>
      </w:pPr>
      <w:r>
        <w:rPr>
          <w:rFonts w:ascii="Arial" w:cs="Arial" w:eastAsia="Arial" w:hAnsi="Arial"/>
          <w:b/>
          <w:bCs/>
          <w:color w:val="1B3A5C"/>
          <w:sz w:val="22"/>
          <w:szCs w:val="22"/>
        </w:rPr>
        <w:t xml:space="preserve">RF-011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registrar a Entrada por Devolução de Requisição, vinculando o número da requisição original, itens devolvidos, motivo, estado de conservação e reincorporando ao estoque com rastreabilidade completa.</w:t>
      </w:r>
    </w:p>
    <w:p>
      <w:pPr>
        <w:spacing w:after="120"/>
      </w:pPr>
      <w:r>
        <w:rPr>
          <w:rFonts w:ascii="Arial" w:cs="Arial" w:eastAsia="Arial" w:hAnsi="Arial"/>
          <w:b/>
          <w:bCs/>
          <w:color w:val="1B3A5C"/>
          <w:sz w:val="22"/>
          <w:szCs w:val="22"/>
        </w:rPr>
        <w:t xml:space="preserve">RF-012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que Unidades Organizacionais criem Requisições de Saída de materiais, definindo prioridade (Baixa, Normal, Alta, Urgente).</w:t>
      </w:r>
    </w:p>
    <w:p>
      <w:pPr>
        <w:spacing w:after="120"/>
      </w:pPr>
      <w:r>
        <w:rPr>
          <w:rFonts w:ascii="Arial" w:cs="Arial" w:eastAsia="Arial" w:hAnsi="Arial"/>
          <w:b/>
          <w:bCs/>
          <w:color w:val="1B3A5C"/>
          <w:sz w:val="22"/>
          <w:szCs w:val="22"/>
        </w:rPr>
        <w:t xml:space="preserve">RF-013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prover um Workflow de Status para requisições com a seguinte máquina de estados e transições autorizadas: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Estado Origem</w:t>
            </w:r>
          </w:p>
        </w:tc>
        <w:tc>
          <w:tcPr>
            <w:tcW w:type="dxa" w:w="22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Estado Destino</w:t>
            </w:r>
          </w:p>
        </w:tc>
        <w:tc>
          <w:tcPr>
            <w:tcW w:type="dxa" w:w="24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Papel Autorizado</w:t>
            </w:r>
          </w:p>
        </w:tc>
        <w:tc>
          <w:tcPr>
            <w:tcW w:type="dxa" w:w="2626"/>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Pré-condição</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Rascunho</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Requisitante</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Itens válidos selecionados</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Aprovada</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 Almoxarifado</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Estoque disponível verificado</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Rejeitada</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 Almoxarifado</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Justificativa obrigatória</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Aprovada</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Em Processamento</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 Almoxarifado</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Separação física iniciada</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Em Processamento</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Atendida</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 Almoxarifado</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Retirada física confirmada</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Em Processamento</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Parcialmente Atendida</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 Almoxarifado</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Justificativa de corte obrigatória</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Suspensa</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Sistema (automático)</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Unidade bloqueada (RN-004)</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Suspensa</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Sistema (automático)</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Unidade desbloqueada</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Qualquer (exceto Cancelada/Atendida)</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Cancelada</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Requisitante/Gestor</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Justificativa obrigatória</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Rejeitada</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Rascunho</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Requisitante</w:t>
            </w:r>
          </w:p>
        </w:tc>
        <w:tc>
          <w:tcPr>
            <w:tcW w:type="dxa" w:w="2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Resubmissão com alterações</w:t>
            </w:r>
          </w:p>
        </w:tc>
      </w:tr>
    </w:tbl>
    <w:p>
      <w:pPr>
        <w:spacing w:after="80"/>
      </w:pPr>
    </w:p>
    <w:p>
      <w:pPr>
        <w:spacing w:after="120"/>
      </w:pPr>
      <w:r>
        <w:rPr>
          <w:i/>
          <w:iCs/>
        </w:rPr>
        <w:t xml:space="preserve">Nota: Cancelada é estado terminal absoluto. Atendida e Parcialmente Atendida são estados terminais operacionais (reversão apenas via RF-014).</w:t>
      </w:r>
    </w:p>
    <w:p>
      <w:pPr>
        <w:spacing w:after="60"/>
      </w:pPr>
    </w:p>
    <w:p>
      <w:pPr>
        <w:spacing w:after="120"/>
      </w:pPr>
      <w:r>
        <w:rPr>
          <w:rFonts w:ascii="Arial" w:cs="Arial" w:eastAsia="Arial" w:hAnsi="Arial"/>
          <w:b/>
          <w:bCs/>
          <w:color w:val="1B3A5C"/>
          <w:sz w:val="22"/>
          <w:szCs w:val="22"/>
        </w:rPr>
        <w:t xml:space="preserve">RF-014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o atendimento parcial de requisições, exigindo registro obrigatório de justificativa para o corte de itens ou quantidades.</w:t>
      </w:r>
    </w:p>
    <w:p>
      <w:pPr>
        <w:spacing w:after="120"/>
      </w:pPr>
      <w:r>
        <w:rPr>
          <w:rFonts w:ascii="Arial" w:cs="Arial" w:eastAsia="Arial" w:hAnsi="Arial"/>
          <w:b/>
          <w:bCs/>
          <w:color w:val="1B3A5C"/>
          <w:sz w:val="22"/>
          <w:szCs w:val="22"/>
        </w:rPr>
        <w:t xml:space="preserve">RF-015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prover funcionalidade de Rollback auditada para reverter mudanças de status de requisições. Restrições: (a) somente perfil Gestor Central, (b) janela máxima de 24h após a última transição, (c) justificativa obrigatória, (d) se estoque já foi movimentado, gera lançamento compensatório (entrada de estorno) em vez de reversão direta, mantendo ambos os registros para auditoria.</w:t>
      </w:r>
    </w:p>
    <w:p>
      <w:pPr>
        <w:spacing w:after="120"/>
      </w:pPr>
      <w:r>
        <w:rPr>
          <w:rFonts w:ascii="Arial" w:cs="Arial" w:eastAsia="Arial" w:hAnsi="Arial"/>
          <w:b/>
          <w:bCs/>
          <w:color w:val="1B3A5C"/>
          <w:sz w:val="22"/>
          <w:szCs w:val="22"/>
        </w:rPr>
        <w:t xml:space="preserve">RF-016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a Saída por Desfazimento/Baixa, exigindo justificativa, upload do Parecer Técnico (PDF, máx 10MB) e número de processo do SEI associado, validado pelo formato padrão (regex configurável). O Termo de Desfazimento gerado deve ser assinado eletronicamente (RF-040).</w:t>
      </w:r>
    </w:p>
    <w:p>
      <w:pPr>
        <w:spacing w:after="120"/>
      </w:pPr>
      <w:r>
        <w:rPr>
          <w:rFonts w:ascii="Arial" w:cs="Arial" w:eastAsia="Arial" w:hAnsi="Arial"/>
          <w:b/>
          <w:bCs/>
          <w:color w:val="1B3A5C"/>
          <w:sz w:val="22"/>
          <w:szCs w:val="22"/>
        </w:rPr>
        <w:t xml:space="preserve">RF-017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o registro de Saída por Ordem de Serviço, associando o número da OS, responsável e itens utilizados.</w:t>
      </w:r>
    </w:p>
    <w:p>
      <w:pPr>
        <w:spacing w:after="120"/>
      </w:pPr>
      <w:r>
        <w:rPr>
          <w:rFonts w:ascii="Arial" w:cs="Arial" w:eastAsia="Arial" w:hAnsi="Arial"/>
          <w:b/>
          <w:bCs/>
          <w:color w:val="1B3A5C"/>
          <w:sz w:val="22"/>
          <w:szCs w:val="22"/>
        </w:rPr>
        <w:t xml:space="preserve">RF-018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a Transferência de materiais entre diferentes almoxarifados com fluxo de duas etapas: (a) gestor de origem inicia e reserva itens (bloqueio de saída simultânea via pessimistic locking), (b) gestor de destino confirma recebimento. A efetivação (baixa na origem + entrada no destino) deve ser transacional e atômica.</w:t>
      </w:r>
    </w:p>
    <w:p>
      <w:pPr>
        <w:spacing w:after="120"/>
      </w:pPr>
      <w:r>
        <w:rPr>
          <w:rFonts w:ascii="Arial" w:cs="Arial" w:eastAsia="Arial" w:hAnsi="Arial"/>
          <w:b/>
          <w:bCs/>
          <w:color w:val="1B3A5C"/>
          <w:sz w:val="22"/>
          <w:szCs w:val="22"/>
        </w:rPr>
        <w:t xml:space="preserve">RF-019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prover módulo de Inventário (Periódico e Rotativo), permitindo contagem física, conciliação automática com saldos lógicos e geração do Termo de Inventário com assinatura eletrônica (RF-040).</w:t>
      </w:r>
    </w:p>
    <w:p>
      <w:pPr>
        <w:spacing w:after="60"/>
      </w:pPr>
    </w:p>
    <w:p>
      <w:pPr>
        <w:pStyle w:val="Heading2"/>
      </w:pPr>
      <w:r>
        <w:t xml:space="preserve">5.3 Gestão de Validade e Perecibilidade</w:t>
      </w:r>
    </w:p>
    <w:p>
      <w:pPr>
        <w:spacing w:after="120"/>
      </w:pPr>
      <w:r>
        <w:rPr>
          <w:rFonts w:ascii="Arial" w:cs="Arial" w:eastAsia="Arial" w:hAnsi="Arial"/>
          <w:b/>
          <w:bCs/>
          <w:color w:val="1B3A5C"/>
          <w:sz w:val="22"/>
          <w:szCs w:val="22"/>
        </w:rPr>
        <w:t xml:space="preserve">RF-020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implementar política FEFO (First Expired, First Out) na sugestão de lotes para saída e distribuição de itens com controle de validade. Para itens sem validade, utilizar FIFO (First In, First Out).</w:t>
      </w:r>
    </w:p>
    <w:p>
      <w:pPr>
        <w:spacing w:after="120"/>
      </w:pPr>
      <w:r>
        <w:rPr>
          <w:rFonts w:ascii="Arial" w:cs="Arial" w:eastAsia="Arial" w:hAnsi="Arial"/>
          <w:b/>
          <w:bCs/>
          <w:color w:val="1B3A5C"/>
          <w:sz w:val="22"/>
          <w:szCs w:val="22"/>
        </w:rPr>
        <w:t xml:space="preserve">RF-021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gerar alertas configuráveis de proximidade de vencimento de lotes (parâmetros: 30/60/90 dias, configurável por grupo de material).</w:t>
      </w:r>
    </w:p>
    <w:p>
      <w:pPr>
        <w:spacing w:after="120"/>
      </w:pPr>
      <w:r>
        <w:rPr>
          <w:rFonts w:ascii="Arial" w:cs="Arial" w:eastAsia="Arial" w:hAnsi="Arial"/>
          <w:b/>
          <w:bCs/>
          <w:color w:val="1B3A5C"/>
          <w:sz w:val="22"/>
          <w:szCs w:val="22"/>
        </w:rPr>
        <w:t xml:space="preserve">RF-022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bloquear automaticamente a distribuição de lotes com validade expirada, direcionando-os para o fluxo de desfazimento (RF-016).</w:t>
      </w:r>
    </w:p>
    <w:p>
      <w:pPr>
        <w:spacing w:after="60"/>
      </w:pPr>
    </w:p>
    <w:p>
      <w:pPr>
        <w:pStyle w:val="Heading2"/>
      </w:pPr>
      <w:r>
        <w:t xml:space="preserve">5.4 Ajustes de Liquidação (Glosas)</w:t>
      </w:r>
    </w:p>
    <w:p>
      <w:pPr>
        <w:spacing w:after="120"/>
      </w:pPr>
      <w:r>
        <w:rPr>
          <w:rFonts w:ascii="Arial" w:cs="Arial" w:eastAsia="Arial" w:hAnsi="Arial"/>
          <w:b/>
          <w:bCs/>
          <w:color w:val="1B3A5C"/>
          <w:sz w:val="22"/>
          <w:szCs w:val="22"/>
        </w:rPr>
        <w:t xml:space="preserve">RF-023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permitir Ajustes de Liquidação (glosas) durante o recebimento de Nota Fiscal, possibilitando estornos parciais ou recusas de itens específicos. O registro original da NF deve permanecer imutável para fins de auditoria; o ajuste é registrado como operação vinculada com justificativa obrigatória, responsável e timestamp.</w:t>
      </w:r>
    </w:p>
    <w:p>
      <w:pPr>
        <w:spacing w:after="60"/>
      </w:pPr>
    </w:p>
    <w:p>
      <w:pPr>
        <w:pStyle w:val="Heading2"/>
      </w:pPr>
      <w:r>
        <w:t xml:space="preserve">5.5 Integrações, Automações e Transparência</w:t>
      </w:r>
    </w:p>
    <w:p>
      <w:pPr>
        <w:spacing w:after="120"/>
      </w:pPr>
      <w:r>
        <w:rPr>
          <w:rFonts w:ascii="Arial" w:cs="Arial" w:eastAsia="Arial" w:hAnsi="Arial"/>
          <w:b/>
          <w:bCs/>
          <w:color w:val="1B3A5C"/>
          <w:sz w:val="22"/>
          <w:szCs w:val="22"/>
        </w:rPr>
        <w:t xml:space="preserve">RF-024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sincronizar periodicamente a estrutura organizacional via integração com a API do SIORG. Em caso de indisponibilidade, deve utilizar cache local da última sincronização válida e registrar o evento em log.</w:t>
      </w:r>
    </w:p>
    <w:p>
      <w:pPr>
        <w:spacing w:after="120"/>
      </w:pPr>
      <w:r>
        <w:rPr>
          <w:rFonts w:ascii="Arial" w:cs="Arial" w:eastAsia="Arial" w:hAnsi="Arial"/>
          <w:b/>
          <w:bCs/>
          <w:color w:val="1B3A5C"/>
          <w:sz w:val="22"/>
          <w:szCs w:val="22"/>
        </w:rPr>
        <w:t xml:space="preserve">RF-025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integrar-se ao Comprasnet via API para importar fornecedores, itens, valores e quantidades baseados no Número do Empenho. Em caso de indisponibilidade da API, o sistema deve permitir entrada em modo “pendente de conciliação” com conciliação automática posterior quando a API retornar, gerando alerta para divergências detectadas (RF-032).</w:t>
      </w:r>
    </w:p>
    <w:p>
      <w:pPr>
        <w:spacing w:after="120"/>
      </w:pPr>
      <w:r>
        <w:rPr>
          <w:rFonts w:ascii="Arial" w:cs="Arial" w:eastAsia="Arial" w:hAnsi="Arial"/>
          <w:b/>
          <w:bCs/>
          <w:color w:val="1B3A5C"/>
          <w:sz w:val="22"/>
          <w:szCs w:val="22"/>
        </w:rPr>
        <w:t xml:space="preserve">RF-026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executar rotina assíncrona diária para monitorar o estoque e enviar alertas (Push/Email) à equipe de compras quando itens (priorizando Curva A) atingirem o estoque mínimo.</w:t>
      </w:r>
    </w:p>
    <w:p>
      <w:pPr>
        <w:spacing w:after="120"/>
      </w:pPr>
      <w:r>
        <w:rPr>
          <w:rFonts w:ascii="Arial" w:cs="Arial" w:eastAsia="Arial" w:hAnsi="Arial"/>
          <w:b/>
          <w:bCs/>
          <w:color w:val="1B3A5C"/>
          <w:sz w:val="22"/>
          <w:szCs w:val="22"/>
        </w:rPr>
        <w:t xml:space="preserve">RF-027 </w:t>
      </w:r>
      <w:r>
        <w:rPr>
          <w:rFonts w:ascii="Arial" w:cs="Arial" w:eastAsia="Arial" w:hAnsi="Arial"/>
          <w:b/>
          <w:bCs/>
          <w:color w:val="555555"/>
          <w:sz w:val="20"/>
          <w:szCs w:val="20"/>
        </w:rPr>
        <w:t xml:space="preserve">[S] </w:t>
      </w:r>
      <w:r>
        <w:rPr>
          <w:rFonts w:ascii="Arial" w:cs="Arial" w:eastAsia="Arial" w:hAnsi="Arial"/>
          <w:sz w:val="22"/>
          <w:szCs w:val="22"/>
        </w:rPr>
        <w:t xml:space="preserve">O sistema deve expor rotas de API públicas RESTful com paginação obrigatória e filtros por período e setor para consulta de dados agregados do almoxarifado.</w:t>
      </w:r>
    </w:p>
    <w:p>
      <w:pPr>
        <w:spacing w:after="120"/>
      </w:pPr>
      <w:r>
        <w:rPr>
          <w:rFonts w:ascii="Arial" w:cs="Arial" w:eastAsia="Arial" w:hAnsi="Arial"/>
          <w:b/>
          <w:bCs/>
          <w:color w:val="1B3A5C"/>
          <w:sz w:val="22"/>
          <w:szCs w:val="22"/>
        </w:rPr>
        <w:t xml:space="preserve">RF-028 </w:t>
      </w:r>
      <w:r>
        <w:rPr>
          <w:rFonts w:ascii="Arial" w:cs="Arial" w:eastAsia="Arial" w:hAnsi="Arial"/>
          <w:b/>
          <w:bCs/>
          <w:color w:val="555555"/>
          <w:sz w:val="20"/>
          <w:szCs w:val="20"/>
        </w:rPr>
        <w:t xml:space="preserve">[S] </w:t>
      </w:r>
      <w:r>
        <w:rPr>
          <w:rFonts w:ascii="Arial" w:cs="Arial" w:eastAsia="Arial" w:hAnsi="Arial"/>
          <w:sz w:val="22"/>
          <w:szCs w:val="22"/>
        </w:rPr>
        <w:t xml:space="preserve">O sistema deve prover Dashboard web (Portal de Transparência) com dados agregados de consumo por departamento e volume financeiro transacionado, atualizados em regime near real-time (latência máxima de 5 minutos via materialized views ou mecanismo equivalente).</w:t>
      </w:r>
    </w:p>
    <w:p>
      <w:pPr>
        <w:spacing w:after="120"/>
      </w:pPr>
      <w:r>
        <w:rPr>
          <w:rFonts w:ascii="Arial" w:cs="Arial" w:eastAsia="Arial" w:hAnsi="Arial"/>
          <w:b/>
          <w:bCs/>
          <w:color w:val="1B3A5C"/>
          <w:sz w:val="22"/>
          <w:szCs w:val="22"/>
        </w:rPr>
        <w:t xml:space="preserve">RF-029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notificar requisitantes por email sobre mudanças de status em suas requisições (aprovação, rejeição, atendimento parcial, cancelamento), com templates configuráveis por tipo de transição.</w:t>
      </w:r>
    </w:p>
    <w:p>
      <w:pPr>
        <w:spacing w:after="60"/>
      </w:pPr>
    </w:p>
    <w:p>
      <w:pPr>
        <w:pStyle w:val="Heading2"/>
      </w:pPr>
      <w:r>
        <w:t xml:space="preserve">5.6 Gestão de Fornecedores, Relatórios e Dashboards</w:t>
      </w:r>
    </w:p>
    <w:p>
      <w:pPr>
        <w:spacing w:after="120"/>
      </w:pPr>
      <w:r>
        <w:rPr>
          <w:rFonts w:ascii="Arial" w:cs="Arial" w:eastAsia="Arial" w:hAnsi="Arial"/>
          <w:b/>
          <w:bCs/>
          <w:color w:val="1B3A5C"/>
          <w:sz w:val="22"/>
          <w:szCs w:val="22"/>
        </w:rPr>
        <w:t xml:space="preserve">RF-030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manter cadastro completo de Fornecedores com histórico automatizado de ocorrências (atrasos, devoluções, não-conformidades), entregas e qualidade. Métricas: pontualidade (% no prazo), conformidade (% sem devolução), taxa de devoluções. Score composto calculado automaticamente, disponível para consulta nos relatórios gerenciais.</w:t>
      </w:r>
    </w:p>
    <w:p>
      <w:pPr>
        <w:spacing w:after="120"/>
      </w:pPr>
      <w:r>
        <w:rPr>
          <w:rFonts w:ascii="Arial" w:cs="Arial" w:eastAsia="Arial" w:hAnsi="Arial"/>
          <w:b/>
          <w:bCs/>
          <w:color w:val="1B3A5C"/>
          <w:sz w:val="22"/>
          <w:szCs w:val="22"/>
        </w:rPr>
        <w:t xml:space="preserve">RF-031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gerar relatórios operacionais e gerenciais (Posição de Estoque, Curva ABC, Consumo por Setor, Materiais sem Movimentação, Perdas por Vencimento, Desempenho de Fornecedores) com opções de filtro por data, setor e almoxarifado, exportáveis em PDF e CSV.</w:t>
      </w:r>
    </w:p>
    <w:p>
      <w:pPr>
        <w:spacing w:after="120"/>
      </w:pPr>
      <w:r>
        <w:rPr>
          <w:rFonts w:ascii="Arial" w:cs="Arial" w:eastAsia="Arial" w:hAnsi="Arial"/>
          <w:b/>
          <w:bCs/>
          <w:color w:val="1B3A5C"/>
          <w:sz w:val="22"/>
          <w:szCs w:val="22"/>
        </w:rPr>
        <w:t xml:space="preserve">RF-032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apresentar Dashboards gerenciais exibindo KPIs near real-time: tempo médio de atendimento, taxa de devolução, taxa de perdas por vencimento, nível de atendimento de requisições, status de integrações externas (Comprasnet, SIORG) com indicador de saúde e timestamp da última sincronização.</w:t>
      </w:r>
    </w:p>
    <w:p>
      <w:pPr>
        <w:spacing w:after="60"/>
      </w:pPr>
    </w:p>
    <w:p>
      <w:pPr>
        <w:pStyle w:val="Heading2"/>
      </w:pPr>
      <w:r>
        <w:t xml:space="preserve">5.7 Resiliência e Modo Degradado</w:t>
      </w:r>
    </w:p>
    <w:p>
      <w:pPr>
        <w:spacing w:after="120"/>
      </w:pPr>
      <w:r>
        <w:rPr>
          <w:rFonts w:ascii="Arial" w:cs="Arial" w:eastAsia="Arial" w:hAnsi="Arial"/>
          <w:b/>
          <w:bCs/>
          <w:color w:val="1B3A5C"/>
          <w:sz w:val="22"/>
          <w:szCs w:val="22"/>
        </w:rPr>
        <w:t xml:space="preserve">RF-033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suportar modo de entrada “pendente de conciliação” quando a API do Comprasnet estiver indisponível, registrando a entrada com flag específica e executando conciliação automática quando a API retornar.</w:t>
      </w:r>
    </w:p>
    <w:p>
      <w:pPr>
        <w:spacing w:after="120"/>
      </w:pPr>
      <w:r>
        <w:rPr>
          <w:rFonts w:ascii="Arial" w:cs="Arial" w:eastAsia="Arial" w:hAnsi="Arial"/>
          <w:b/>
          <w:bCs/>
          <w:color w:val="1B3A5C"/>
          <w:sz w:val="22"/>
          <w:szCs w:val="22"/>
        </w:rPr>
        <w:t xml:space="preserve">RF-034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implementar fila de retry com backoff exponencial para todas as integrações externas (Comprasnet, SIORG), com limite configurável de tentativas e alerta após exaustão.</w:t>
      </w:r>
    </w:p>
    <w:p>
      <w:pPr>
        <w:spacing w:after="120"/>
      </w:pPr>
      <w:r>
        <w:rPr>
          <w:rFonts w:ascii="Arial" w:cs="Arial" w:eastAsia="Arial" w:hAnsi="Arial"/>
          <w:b/>
          <w:bCs/>
          <w:color w:val="1B3A5C"/>
          <w:sz w:val="22"/>
          <w:szCs w:val="22"/>
        </w:rPr>
        <w:t xml:space="preserve">RF-035 </w:t>
      </w:r>
      <w:r>
        <w:rPr>
          <w:rFonts w:ascii="Arial" w:cs="Arial" w:eastAsia="Arial" w:hAnsi="Arial"/>
          <w:b/>
          <w:bCs/>
          <w:color w:val="555555"/>
          <w:sz w:val="20"/>
          <w:szCs w:val="20"/>
        </w:rPr>
        <w:t xml:space="preserve">[S] </w:t>
      </w:r>
      <w:r>
        <w:rPr>
          <w:rFonts w:ascii="Arial" w:cs="Arial" w:eastAsia="Arial" w:hAnsi="Arial"/>
          <w:sz w:val="22"/>
          <w:szCs w:val="22"/>
        </w:rPr>
        <w:t xml:space="preserve">O sistema deve exibir painel administrativo de status das integrações externas com indicador de saúde, timestamp da última sincronização bem-sucedida e histórico de falhas.</w:t>
      </w:r>
    </w:p>
    <w:p>
      <w:pPr>
        <w:spacing w:after="60"/>
      </w:pPr>
    </w:p>
    <w:p>
      <w:pPr>
        <w:pStyle w:val="Heading2"/>
      </w:pPr>
      <w:r>
        <w:t xml:space="preserve">5.8 Migração e Carga Inicial</w:t>
      </w:r>
    </w:p>
    <w:p>
      <w:pPr>
        <w:spacing w:after="120"/>
      </w:pPr>
      <w:r>
        <w:rPr>
          <w:rFonts w:ascii="Arial" w:cs="Arial" w:eastAsia="Arial" w:hAnsi="Arial"/>
          <w:b/>
          <w:bCs/>
          <w:color w:val="1B3A5C"/>
          <w:sz w:val="22"/>
          <w:szCs w:val="22"/>
        </w:rPr>
        <w:t xml:space="preserve">RF-036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prover ferramenta de importação de carga inicial para: (a) catálogo de itens, (b) saldos de estoque por almoxarifado/lote, (c) cadastro de fornecedores, (d) estrutura organizacional. Formatos aceitos: CSV e XLSX, com validação, relatório de erros e modo dry-run (simulação sem persistência).</w:t>
      </w:r>
    </w:p>
    <w:p>
      <w:pPr>
        <w:spacing w:after="60"/>
      </w:pPr>
    </w:p>
    <w:p>
      <w:pPr>
        <w:pStyle w:val="Heading2"/>
      </w:pPr>
      <w:r>
        <w:t xml:space="preserve">5.9 Auditoria e Assinatura Eletrônica</w:t>
      </w:r>
    </w:p>
    <w:p>
      <w:pPr>
        <w:spacing w:after="120"/>
      </w:pPr>
      <w:r>
        <w:rPr>
          <w:rFonts w:ascii="Arial" w:cs="Arial" w:eastAsia="Arial" w:hAnsi="Arial"/>
          <w:b/>
          <w:bCs/>
          <w:color w:val="1B3A5C"/>
          <w:sz w:val="22"/>
          <w:szCs w:val="22"/>
        </w:rPr>
        <w:t xml:space="preserve">RF-037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manter histórico de alterações de status de Unidades Organizacionais (bloqueio/desbloqueio), registrando data, responsável e justificativa.</w:t>
      </w:r>
    </w:p>
    <w:p>
      <w:pPr>
        <w:spacing w:after="120"/>
      </w:pPr>
      <w:r>
        <w:rPr>
          <w:rFonts w:ascii="Arial" w:cs="Arial" w:eastAsia="Arial" w:hAnsi="Arial"/>
          <w:b/>
          <w:bCs/>
          <w:color w:val="1B3A5C"/>
          <w:sz w:val="22"/>
          <w:szCs w:val="22"/>
        </w:rPr>
        <w:t xml:space="preserve">RF-038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implementar interface de parametrização de restrições temporais (RN-003), permitindo configuração por item, grupo ou unidade, com definição de período mínimo entre solicitações. Comportamento default: sem restrição (fail-open) até que parâmetro seja definido.</w:t>
      </w:r>
    </w:p>
    <w:p>
      <w:pPr>
        <w:spacing w:after="120"/>
      </w:pPr>
      <w:r>
        <w:rPr>
          <w:rFonts w:ascii="Arial" w:cs="Arial" w:eastAsia="Arial" w:hAnsi="Arial"/>
          <w:b/>
          <w:bCs/>
          <w:color w:val="1B3A5C"/>
          <w:sz w:val="22"/>
          <w:szCs w:val="22"/>
        </w:rPr>
        <w:t xml:space="preserve">RF-039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validar o formato do número de processo SEI conforme padrão configurável (regex). Integração com API do SEI para validação de existência é opcional (Should) e deve operar com fallback para validação apenas de formato quando indisponível.</w:t>
      </w:r>
    </w:p>
    <w:p>
      <w:pPr>
        <w:spacing w:after="120"/>
      </w:pPr>
      <w:r>
        <w:rPr>
          <w:rFonts w:ascii="Arial" w:cs="Arial" w:eastAsia="Arial" w:hAnsi="Arial"/>
          <w:b/>
          <w:bCs/>
          <w:color w:val="1B3A5C"/>
          <w:sz w:val="22"/>
          <w:szCs w:val="22"/>
        </w:rPr>
        <w:t xml:space="preserve">RF-040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integrar-se ao Gov.br Assinatura (ou solução ICP-Brasil equivalente) para assinatura eletrônica de documentos com responsabilidade patrimonial: Termos de Desfazimento, Termos de Inventário, e Termos de Transferência. Documentos assinados devem ser armazenados em formato PDF/A com metadados de assinatura.</w:t>
      </w:r>
    </w:p>
    <w:p>
      <w:r>
        <w:br w:type="page"/>
      </w:r>
    </w:p>
    <w:p>
      <w:pPr>
        <w:pStyle w:val="Heading1"/>
      </w:pPr>
      <w:r>
        <w:t xml:space="preserve">6. Requisitos Não Funcionais (RNF)</w:t>
      </w:r>
    </w:p>
    <w:p>
      <w:pPr>
        <w:pStyle w:val="Heading2"/>
      </w:pPr>
      <w:r>
        <w:t xml:space="preserve">6.1 Segurança e Identidade</w:t>
      </w:r>
    </w:p>
    <w:p>
      <w:pPr>
        <w:spacing w:after="120"/>
      </w:pPr>
      <w:r>
        <w:rPr>
          <w:rFonts w:ascii="Arial" w:cs="Arial" w:eastAsia="Arial" w:hAnsi="Arial"/>
          <w:b/>
          <w:bCs/>
          <w:color w:val="1B3A5C"/>
          <w:sz w:val="22"/>
          <w:szCs w:val="22"/>
        </w:rPr>
        <w:t xml:space="preserve">RNF-001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integrar-se ao provedor de identidade institucional da UFMT (Gov.br via OAuth2/PKCE ou IdP SAML da universidade) como fonte primária de autenticação, evitando gestão duplicada de credenciais.</w:t>
      </w:r>
    </w:p>
    <w:p>
      <w:pPr>
        <w:spacing w:after="120"/>
      </w:pPr>
      <w:r>
        <w:rPr>
          <w:rFonts w:ascii="Arial" w:cs="Arial" w:eastAsia="Arial" w:hAnsi="Arial"/>
          <w:b/>
          <w:bCs/>
          <w:color w:val="1B3A5C"/>
          <w:sz w:val="22"/>
          <w:szCs w:val="22"/>
        </w:rPr>
        <w:t xml:space="preserve">RNF-002 </w:t>
      </w:r>
      <w:r>
        <w:rPr>
          <w:rFonts w:ascii="Arial" w:cs="Arial" w:eastAsia="Arial" w:hAnsi="Arial"/>
          <w:b/>
          <w:bCs/>
          <w:color w:val="555555"/>
          <w:sz w:val="20"/>
          <w:szCs w:val="20"/>
        </w:rPr>
        <w:t xml:space="preserve">[M] </w:t>
      </w:r>
      <w:r>
        <w:rPr>
          <w:rFonts w:ascii="Arial" w:cs="Arial" w:eastAsia="Arial" w:hAnsi="Arial"/>
          <w:sz w:val="22"/>
          <w:szCs w:val="22"/>
        </w:rPr>
        <w:t xml:space="preserve">A autenticação deve ser protegida por Múltiplos Fatores (MFA) utilizando padrão TOTP como segundo fator sobre a identidade federada (RNF-001).</w:t>
      </w:r>
    </w:p>
    <w:p>
      <w:pPr>
        <w:spacing w:after="120"/>
      </w:pPr>
      <w:r>
        <w:rPr>
          <w:rFonts w:ascii="Arial" w:cs="Arial" w:eastAsia="Arial" w:hAnsi="Arial"/>
          <w:b/>
          <w:bCs/>
          <w:color w:val="1B3A5C"/>
          <w:sz w:val="22"/>
          <w:szCs w:val="22"/>
        </w:rPr>
        <w:t xml:space="preserve">RNF-003 </w:t>
      </w:r>
      <w:r>
        <w:rPr>
          <w:rFonts w:ascii="Arial" w:cs="Arial" w:eastAsia="Arial" w:hAnsi="Arial"/>
          <w:b/>
          <w:bCs/>
          <w:color w:val="555555"/>
          <w:sz w:val="20"/>
          <w:szCs w:val="20"/>
        </w:rPr>
        <w:t xml:space="preserve">[M] </w:t>
      </w:r>
      <w:r>
        <w:rPr>
          <w:rFonts w:ascii="Arial" w:cs="Arial" w:eastAsia="Arial" w:hAnsi="Arial"/>
          <w:sz w:val="22"/>
          <w:szCs w:val="22"/>
        </w:rPr>
        <w:t xml:space="preserve">O controle de acesso deve utilizar o padrão RBAC com políticas dinâmicas (Casbin), garantindo o princípio do menor privilégio. Gestores setoriais possuem permissões restritas ao almoxarifado ao qual estão vinculados; gestores centrais possuem visibilidade e operação sobre todos os almoxarifados.</w:t>
      </w:r>
    </w:p>
    <w:p>
      <w:pPr>
        <w:spacing w:after="120"/>
      </w:pPr>
      <w:r>
        <w:rPr>
          <w:rFonts w:ascii="Arial" w:cs="Arial" w:eastAsia="Arial" w:hAnsi="Arial"/>
          <w:b/>
          <w:bCs/>
          <w:color w:val="1B3A5C"/>
          <w:sz w:val="22"/>
          <w:szCs w:val="22"/>
        </w:rPr>
        <w:t xml:space="preserve">RNF-004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implementar mitigação contra abusos: Rate Limiting configurável por rota (ex: 100 req/min para API pública, 1000 req/min para operação interna), cabeçalhos de segurança (CSP, proteção contra XSS e CSRF), e detecção de roubo de sessão (rotação de refresh tokens).</w:t>
      </w:r>
    </w:p>
    <w:p>
      <w:pPr>
        <w:spacing w:after="60"/>
      </w:pPr>
    </w:p>
    <w:p>
      <w:pPr>
        <w:pStyle w:val="Heading2"/>
      </w:pPr>
      <w:r>
        <w:t xml:space="preserve">6.2 Auditoria e Conformidade</w:t>
      </w:r>
    </w:p>
    <w:p>
      <w:pPr>
        <w:spacing w:after="120"/>
      </w:pPr>
      <w:r>
        <w:rPr>
          <w:rFonts w:ascii="Arial" w:cs="Arial" w:eastAsia="Arial" w:hAnsi="Arial"/>
          <w:b/>
          <w:bCs/>
          <w:color w:val="1B3A5C"/>
          <w:sz w:val="22"/>
          <w:szCs w:val="22"/>
        </w:rPr>
        <w:t xml:space="preserve">RNF-005 </w:t>
      </w:r>
      <w:r>
        <w:rPr>
          <w:rFonts w:ascii="Arial" w:cs="Arial" w:eastAsia="Arial" w:hAnsi="Arial"/>
          <w:b/>
          <w:bCs/>
          <w:color w:val="555555"/>
          <w:sz w:val="20"/>
          <w:szCs w:val="20"/>
        </w:rPr>
        <w:t xml:space="preserve">[M] </w:t>
      </w:r>
      <w:r>
        <w:rPr>
          <w:rFonts w:ascii="Arial" w:cs="Arial" w:eastAsia="Arial" w:hAnsi="Arial"/>
          <w:sz w:val="22"/>
          <w:szCs w:val="22"/>
        </w:rPr>
        <w:t xml:space="preserve">Toda transação de dados (criação, alteração, exclusão, mudança de status) deve gerar um log contendo: Usuário, IP, Timestamp, Ação e o payload estruturado com o estado “antes” e “depois”.</w:t>
      </w:r>
    </w:p>
    <w:p>
      <w:pPr>
        <w:spacing w:after="120"/>
      </w:pPr>
      <w:r>
        <w:rPr>
          <w:rFonts w:ascii="Arial" w:cs="Arial" w:eastAsia="Arial" w:hAnsi="Arial"/>
          <w:b/>
          <w:bCs/>
          <w:color w:val="1B3A5C"/>
          <w:sz w:val="22"/>
          <w:szCs w:val="22"/>
        </w:rPr>
        <w:t xml:space="preserve">RNF-006 </w:t>
      </w:r>
      <w:r>
        <w:rPr>
          <w:rFonts w:ascii="Arial" w:cs="Arial" w:eastAsia="Arial" w:hAnsi="Arial"/>
          <w:b/>
          <w:bCs/>
          <w:color w:val="555555"/>
          <w:sz w:val="20"/>
          <w:szCs w:val="20"/>
        </w:rPr>
        <w:t xml:space="preserve">[M] </w:t>
      </w:r>
      <w:r>
        <w:rPr>
          <w:rFonts w:ascii="Arial" w:cs="Arial" w:eastAsia="Arial" w:hAnsi="Arial"/>
          <w:sz w:val="22"/>
          <w:szCs w:val="22"/>
        </w:rPr>
        <w:t xml:space="preserve">Os logs de auditoria devem implementar encadeamento criptográfico (hash chaining com SHA-256), onde cada registro inclui o hash do registro anterior, permitindo detecção de adulteração ou exclusão mesmo com acesso direto ao banco de dados (proteção contra ameaça interna/DBA).</w:t>
      </w:r>
    </w:p>
    <w:p>
      <w:pPr>
        <w:spacing w:after="120"/>
      </w:pPr>
      <w:r>
        <w:rPr>
          <w:rFonts w:ascii="Arial" w:cs="Arial" w:eastAsia="Arial" w:hAnsi="Arial"/>
          <w:b/>
          <w:bCs/>
          <w:color w:val="1B3A5C"/>
          <w:sz w:val="22"/>
          <w:szCs w:val="22"/>
        </w:rPr>
        <w:t xml:space="preserve">RNF-007 </w:t>
      </w:r>
      <w:r>
        <w:rPr>
          <w:rFonts w:ascii="Arial" w:cs="Arial" w:eastAsia="Arial" w:hAnsi="Arial"/>
          <w:b/>
          <w:bCs/>
          <w:color w:val="555555"/>
          <w:sz w:val="20"/>
          <w:szCs w:val="20"/>
        </w:rPr>
        <w:t xml:space="preserve">[M] </w:t>
      </w:r>
      <w:r>
        <w:rPr>
          <w:rFonts w:ascii="Arial" w:cs="Arial" w:eastAsia="Arial" w:hAnsi="Arial"/>
          <w:sz w:val="22"/>
          <w:szCs w:val="22"/>
        </w:rPr>
        <w:t xml:space="preserve">Logs de auditoria devem ser retidos por no mínimo 5 anos. Documentos fiscais digitalizados por no mínimo 5 anos. Estratégia de archival: partições por período, migração para cold storage após 12 meses.</w:t>
      </w:r>
    </w:p>
    <w:p>
      <w:pPr>
        <w:spacing w:after="120"/>
      </w:pPr>
      <w:r>
        <w:rPr>
          <w:rFonts w:ascii="Arial" w:cs="Arial" w:eastAsia="Arial" w:hAnsi="Arial"/>
          <w:b/>
          <w:bCs/>
          <w:color w:val="1B3A5C"/>
          <w:sz w:val="22"/>
          <w:szCs w:val="22"/>
        </w:rPr>
        <w:t xml:space="preserve">RNF-008 </w:t>
      </w:r>
      <w:r>
        <w:rPr>
          <w:rFonts w:ascii="Arial" w:cs="Arial" w:eastAsia="Arial" w:hAnsi="Arial"/>
          <w:b/>
          <w:bCs/>
          <w:color w:val="555555"/>
          <w:sz w:val="20"/>
          <w:szCs w:val="20"/>
        </w:rPr>
        <w:t xml:space="preserve">[M] </w:t>
      </w:r>
      <w:r>
        <w:rPr>
          <w:rFonts w:ascii="Arial" w:cs="Arial" w:eastAsia="Arial" w:hAnsi="Arial"/>
          <w:sz w:val="22"/>
          <w:szCs w:val="22"/>
        </w:rPr>
        <w:t xml:space="preserve">Nenhuma operação de rollback ou cancelamento pode apagar registros (Hard Delete restrito). O sistema deve utilizar inserção de registros compensatórios e Soft Delete para todas as operações.</w:t>
      </w:r>
    </w:p>
    <w:p>
      <w:pPr>
        <w:spacing w:after="60"/>
      </w:pPr>
    </w:p>
    <w:p>
      <w:pPr>
        <w:pStyle w:val="Heading2"/>
      </w:pPr>
      <w:r>
        <w:t xml:space="preserve">6.3 Desempenho e Disponibilidade</w:t>
      </w:r>
    </w:p>
    <w:p>
      <w:pPr>
        <w:spacing w:after="120"/>
      </w:pPr>
      <w:r>
        <w:rPr>
          <w:rFonts w:ascii="Arial" w:cs="Arial" w:eastAsia="Arial" w:hAnsi="Arial"/>
          <w:b/>
          <w:bCs/>
          <w:color w:val="1B3A5C"/>
          <w:sz w:val="22"/>
          <w:szCs w:val="22"/>
        </w:rPr>
        <w:t xml:space="preserve">RNF-009 </w:t>
      </w:r>
      <w:r>
        <w:rPr>
          <w:rFonts w:ascii="Arial" w:cs="Arial" w:eastAsia="Arial" w:hAnsi="Arial"/>
          <w:b/>
          <w:bCs/>
          <w:color w:val="555555"/>
          <w:sz w:val="20"/>
          <w:szCs w:val="20"/>
        </w:rPr>
        <w:t xml:space="preserve">[M] </w:t>
      </w:r>
      <w:r>
        <w:rPr>
          <w:rFonts w:ascii="Arial" w:cs="Arial" w:eastAsia="Arial" w:hAnsi="Arial"/>
          <w:sz w:val="22"/>
          <w:szCs w:val="22"/>
        </w:rPr>
        <w:t xml:space="preserve">Consultas ao Portal de Transparência devem retornar em menos de 1 segundo (P95) para consultas simples (listagem paginada) e menos de 3 segundos (P95) para agregações complexas (consumo por departamento + volume financeiro). Cenário de referência: 500k movimentações, 50 almoxarifados, 100 requisições/min no portal.</w:t>
      </w:r>
    </w:p>
    <w:p>
      <w:pPr>
        <w:spacing w:after="120"/>
      </w:pPr>
      <w:r>
        <w:rPr>
          <w:rFonts w:ascii="Arial" w:cs="Arial" w:eastAsia="Arial" w:hAnsi="Arial"/>
          <w:b/>
          <w:bCs/>
          <w:color w:val="1B3A5C"/>
          <w:sz w:val="22"/>
          <w:szCs w:val="22"/>
        </w:rPr>
        <w:t xml:space="preserve">RNF-010 </w:t>
      </w:r>
      <w:r>
        <w:rPr>
          <w:rFonts w:ascii="Arial" w:cs="Arial" w:eastAsia="Arial" w:hAnsi="Arial"/>
          <w:b/>
          <w:bCs/>
          <w:color w:val="555555"/>
          <w:sz w:val="20"/>
          <w:szCs w:val="20"/>
        </w:rPr>
        <w:t xml:space="preserve">[M] </w:t>
      </w:r>
      <w:r>
        <w:rPr>
          <w:rFonts w:ascii="Arial" w:cs="Arial" w:eastAsia="Arial" w:hAnsi="Arial"/>
          <w:sz w:val="22"/>
          <w:szCs w:val="22"/>
        </w:rPr>
        <w:t xml:space="preserve">Operações internas de almoxarifado (entradas, saídas, requisições): disponibilidade de 99.9% em horário comercial (seg-sex, 07h-19h). Janela de manutenção planejada: sábados 22h-06h, com aviso prévio de 48h.</w:t>
      </w:r>
    </w:p>
    <w:p>
      <w:pPr>
        <w:spacing w:after="120"/>
      </w:pPr>
      <w:r>
        <w:rPr>
          <w:rFonts w:ascii="Arial" w:cs="Arial" w:eastAsia="Arial" w:hAnsi="Arial"/>
          <w:b/>
          <w:bCs/>
          <w:color w:val="1B3A5C"/>
          <w:sz w:val="22"/>
          <w:szCs w:val="22"/>
        </w:rPr>
        <w:t xml:space="preserve">RNF-011 </w:t>
      </w:r>
      <w:r>
        <w:rPr>
          <w:rFonts w:ascii="Arial" w:cs="Arial" w:eastAsia="Arial" w:hAnsi="Arial"/>
          <w:b/>
          <w:bCs/>
          <w:color w:val="555555"/>
          <w:sz w:val="20"/>
          <w:szCs w:val="20"/>
        </w:rPr>
        <w:t xml:space="preserve">[S] </w:t>
      </w:r>
      <w:r>
        <w:rPr>
          <w:rFonts w:ascii="Arial" w:cs="Arial" w:eastAsia="Arial" w:hAnsi="Arial"/>
          <w:sz w:val="22"/>
          <w:szCs w:val="22"/>
        </w:rPr>
        <w:t xml:space="preserve">Portal de Transparência (público, 24/7): disponibilidade de 99.5%. APIs de integração (Comprasnet, SIORG): operação best-effort com modo degradado (RF-033, RF-034).</w:t>
      </w:r>
    </w:p>
    <w:p>
      <w:pPr>
        <w:spacing w:after="60"/>
      </w:pPr>
    </w:p>
    <w:p>
      <w:pPr>
        <w:pStyle w:val="Heading2"/>
      </w:pPr>
      <w:r>
        <w:t xml:space="preserve">6.4 Infraestrutura e Resiliência</w:t>
      </w:r>
    </w:p>
    <w:p>
      <w:pPr>
        <w:spacing w:after="120"/>
      </w:pPr>
      <w:r>
        <w:rPr>
          <w:rFonts w:ascii="Arial" w:cs="Arial" w:eastAsia="Arial" w:hAnsi="Arial"/>
          <w:b/>
          <w:bCs/>
          <w:color w:val="1B3A5C"/>
          <w:sz w:val="22"/>
          <w:szCs w:val="22"/>
        </w:rPr>
        <w:t xml:space="preserve">RNF-012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implementar backup incremental diário e completo semanal, com RPO ≤ 1h e RTO ≤ 4h. Backups devem ser testados trimestralmente com restauração em ambiente de homologação.</w:t>
      </w:r>
    </w:p>
    <w:p>
      <w:pPr>
        <w:spacing w:after="120"/>
      </w:pPr>
      <w:r>
        <w:rPr>
          <w:rFonts w:ascii="Arial" w:cs="Arial" w:eastAsia="Arial" w:hAnsi="Arial"/>
          <w:b/>
          <w:bCs/>
          <w:color w:val="1B3A5C"/>
          <w:sz w:val="22"/>
          <w:szCs w:val="22"/>
        </w:rPr>
        <w:t xml:space="preserve">RNF-013 </w:t>
      </w:r>
      <w:r>
        <w:rPr>
          <w:rFonts w:ascii="Arial" w:cs="Arial" w:eastAsia="Arial" w:hAnsi="Arial"/>
          <w:b/>
          <w:bCs/>
          <w:color w:val="555555"/>
          <w:sz w:val="20"/>
          <w:szCs w:val="20"/>
        </w:rPr>
        <w:t xml:space="preserve">[M] </w:t>
      </w:r>
      <w:r>
        <w:rPr>
          <w:rFonts w:ascii="Arial" w:cs="Arial" w:eastAsia="Arial" w:hAnsi="Arial"/>
          <w:sz w:val="22"/>
          <w:szCs w:val="22"/>
        </w:rPr>
        <w:t xml:space="preserve">O Portal de Transparência deve operar em conexão de banco read-replica separada da operação interna, garantindo isolamento de performance e segurança.</w:t>
      </w:r>
    </w:p>
    <w:p>
      <w:pPr>
        <w:spacing w:after="120"/>
      </w:pPr>
      <w:r>
        <w:rPr>
          <w:rFonts w:ascii="Arial" w:cs="Arial" w:eastAsia="Arial" w:hAnsi="Arial"/>
          <w:b/>
          <w:bCs/>
          <w:color w:val="1B3A5C"/>
          <w:sz w:val="22"/>
          <w:szCs w:val="22"/>
        </w:rPr>
        <w:t xml:space="preserve">RNF-014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suportar operação em modo degradado quando integrações externas estiverem indisponíveis, com fila de sincronização e retry automático (RF-034).</w:t>
      </w:r>
    </w:p>
    <w:p>
      <w:pPr>
        <w:spacing w:after="60"/>
      </w:pPr>
    </w:p>
    <w:p>
      <w:pPr>
        <w:pStyle w:val="Heading2"/>
      </w:pPr>
      <w:r>
        <w:t xml:space="preserve">6.5 Acessibilidade e Internacionalização</w:t>
      </w:r>
    </w:p>
    <w:p>
      <w:pPr>
        <w:spacing w:after="120"/>
      </w:pPr>
      <w:r>
        <w:rPr>
          <w:rFonts w:ascii="Arial" w:cs="Arial" w:eastAsia="Arial" w:hAnsi="Arial"/>
          <w:b/>
          <w:bCs/>
          <w:color w:val="1B3A5C"/>
          <w:sz w:val="22"/>
          <w:szCs w:val="22"/>
        </w:rPr>
        <w:t xml:space="preserve">RNF-015 </w:t>
      </w:r>
      <w:r>
        <w:rPr>
          <w:rFonts w:ascii="Arial" w:cs="Arial" w:eastAsia="Arial" w:hAnsi="Arial"/>
          <w:b/>
          <w:bCs/>
          <w:color w:val="555555"/>
          <w:sz w:val="20"/>
          <w:szCs w:val="20"/>
        </w:rPr>
        <w:t xml:space="preserve">[M] </w:t>
      </w:r>
      <w:r>
        <w:rPr>
          <w:rFonts w:ascii="Arial" w:cs="Arial" w:eastAsia="Arial" w:hAnsi="Arial"/>
          <w:sz w:val="22"/>
          <w:szCs w:val="22"/>
        </w:rPr>
        <w:t xml:space="preserve">O sistema deve cumprir o eMAG 3.1 e WCAG 2.1 nível AA em todas as interfaces web.</w:t>
      </w:r>
    </w:p>
    <w:p>
      <w:pPr>
        <w:spacing w:after="120"/>
      </w:pPr>
      <w:r>
        <w:rPr>
          <w:rFonts w:ascii="Arial" w:cs="Arial" w:eastAsia="Arial" w:hAnsi="Arial"/>
          <w:b/>
          <w:bCs/>
          <w:color w:val="1B3A5C"/>
          <w:sz w:val="22"/>
          <w:szCs w:val="22"/>
        </w:rPr>
        <w:t xml:space="preserve">RNF-016 </w:t>
      </w:r>
      <w:r>
        <w:rPr>
          <w:rFonts w:ascii="Arial" w:cs="Arial" w:eastAsia="Arial" w:hAnsi="Arial"/>
          <w:b/>
          <w:bCs/>
          <w:color w:val="555555"/>
          <w:sz w:val="20"/>
          <w:szCs w:val="20"/>
        </w:rPr>
        <w:t xml:space="preserve">[S] </w:t>
      </w:r>
      <w:r>
        <w:rPr>
          <w:rFonts w:ascii="Arial" w:cs="Arial" w:eastAsia="Arial" w:hAnsi="Arial"/>
          <w:sz w:val="22"/>
          <w:szCs w:val="22"/>
        </w:rPr>
        <w:t xml:space="preserve">O sistema deve implementar internacionalização (i18n) com suporte inicial a pt-BR, incluindo formatação de moeda (BRL), data (dd/MM/yyyy) e números (separador decimal vírgula).</w:t>
      </w:r>
    </w:p>
    <w:p>
      <w:r>
        <w:br w:type="page"/>
      </w:r>
    </w:p>
    <w:p>
      <w:pPr>
        <w:pStyle w:val="Heading1"/>
      </w:pPr>
      <w:r>
        <w:t xml:space="preserve">7. Regras de Negócio (RN)</w:t>
      </w:r>
    </w:p>
    <w:p>
      <w:pPr>
        <w:spacing w:after="120"/>
      </w:pPr>
      <w:r>
        <w:rPr>
          <w:rFonts w:ascii="Arial" w:cs="Arial" w:eastAsia="Arial" w:hAnsi="Arial"/>
          <w:b/>
          <w:bCs/>
          <w:color w:val="1B3A5C"/>
          <w:sz w:val="22"/>
          <w:szCs w:val="22"/>
        </w:rPr>
        <w:t xml:space="preserve">RN-001 </w:t>
      </w:r>
      <w:r>
        <w:rPr>
          <w:rFonts w:ascii="Arial" w:cs="Arial" w:eastAsia="Arial" w:hAnsi="Arial"/>
          <w:b/>
          <w:bCs/>
          <w:color w:val="555555"/>
          <w:sz w:val="20"/>
          <w:szCs w:val="20"/>
        </w:rPr>
        <w:t xml:space="preserve">[] </w:t>
      </w:r>
      <w:r>
        <w:rPr>
          <w:rFonts w:ascii="Arial" w:cs="Arial" w:eastAsia="Arial" w:hAnsi="Arial"/>
          <w:sz w:val="22"/>
          <w:szCs w:val="22"/>
        </w:rPr>
        <w:t xml:space="preserve">Hierarquia de Entrada: Apenas Almoxarifados do tipo “Central” possuem permissão para registrar entradas externas via Nota Fiscal de Fornecedor. Almoxarifados “Setoriais” recebem itens exclusivamente via funcionalidade de Transferência (RF-018).</w:t>
      </w:r>
    </w:p>
    <w:p>
      <w:pPr>
        <w:spacing w:after="120"/>
      </w:pPr>
      <w:r>
        <w:rPr>
          <w:rFonts w:ascii="Arial" w:cs="Arial" w:eastAsia="Arial" w:hAnsi="Arial"/>
          <w:b/>
          <w:bCs/>
          <w:color w:val="1B3A5C"/>
          <w:sz w:val="22"/>
          <w:szCs w:val="22"/>
        </w:rPr>
        <w:t xml:space="preserve">RN-002 </w:t>
      </w:r>
      <w:r>
        <w:rPr>
          <w:rFonts w:ascii="Arial" w:cs="Arial" w:eastAsia="Arial" w:hAnsi="Arial"/>
          <w:b/>
          <w:bCs/>
          <w:color w:val="555555"/>
          <w:sz w:val="20"/>
          <w:szCs w:val="20"/>
        </w:rPr>
        <w:t xml:space="preserve">[] </w:t>
      </w:r>
      <w:r>
        <w:rPr>
          <w:rFonts w:ascii="Arial" w:cs="Arial" w:eastAsia="Arial" w:hAnsi="Arial"/>
          <w:sz w:val="22"/>
          <w:szCs w:val="22"/>
        </w:rPr>
        <w:t xml:space="preserve">Bloqueio de Recebimento Maior que Empenho: Durante a entrada por Compra/Empenho, o sistema não pode permitir o recebimento de itens não previstos no catálogo importado do Comprasnet, nem permitir que valores ou quantidades ultrapassem o saldo estipulado no empenho. Exceção: em modo “pendente de conciliação” (RF-033), a validação é adiada até a conciliação automática.</w:t>
      </w:r>
    </w:p>
    <w:p>
      <w:pPr>
        <w:spacing w:after="120"/>
      </w:pPr>
      <w:r>
        <w:rPr>
          <w:rFonts w:ascii="Arial" w:cs="Arial" w:eastAsia="Arial" w:hAnsi="Arial"/>
          <w:b/>
          <w:bCs/>
          <w:color w:val="1B3A5C"/>
          <w:sz w:val="22"/>
          <w:szCs w:val="22"/>
        </w:rPr>
        <w:t xml:space="preserve">RN-003 </w:t>
      </w:r>
      <w:r>
        <w:rPr>
          <w:rFonts w:ascii="Arial" w:cs="Arial" w:eastAsia="Arial" w:hAnsi="Arial"/>
          <w:b/>
          <w:bCs/>
          <w:color w:val="555555"/>
          <w:sz w:val="20"/>
          <w:szCs w:val="20"/>
        </w:rPr>
        <w:t xml:space="preserve">[] </w:t>
      </w:r>
      <w:r>
        <w:rPr>
          <w:rFonts w:ascii="Arial" w:cs="Arial" w:eastAsia="Arial" w:hAnsi="Arial"/>
          <w:sz w:val="22"/>
          <w:szCs w:val="22"/>
        </w:rPr>
        <w:t xml:space="preserve">Restrição Temporal de Consumo: O sistema deve aplicar regras parametrizáveis (configuradas via RF-038) de bloqueio temporal para requisições de itens específicos por Unidade. Comportamento default quando nenhum parâmetro está definido: sem restrição (fail-open).</w:t>
      </w:r>
    </w:p>
    <w:p>
      <w:pPr>
        <w:spacing w:after="120"/>
      </w:pPr>
      <w:r>
        <w:rPr>
          <w:rFonts w:ascii="Arial" w:cs="Arial" w:eastAsia="Arial" w:hAnsi="Arial"/>
          <w:b/>
          <w:bCs/>
          <w:color w:val="1B3A5C"/>
          <w:sz w:val="22"/>
          <w:szCs w:val="22"/>
        </w:rPr>
        <w:t xml:space="preserve">RN-004 </w:t>
      </w:r>
      <w:r>
        <w:rPr>
          <w:rFonts w:ascii="Arial" w:cs="Arial" w:eastAsia="Arial" w:hAnsi="Arial"/>
          <w:b/>
          <w:bCs/>
          <w:color w:val="555555"/>
          <w:sz w:val="20"/>
          <w:szCs w:val="20"/>
        </w:rPr>
        <w:t xml:space="preserve">[] </w:t>
      </w:r>
      <w:r>
        <w:rPr>
          <w:rFonts w:ascii="Arial" w:cs="Arial" w:eastAsia="Arial" w:hAnsi="Arial"/>
          <w:sz w:val="22"/>
          <w:szCs w:val="22"/>
        </w:rPr>
        <w:t xml:space="preserve">Bloqueio Cautelar de Unidades: Uma Unidade Organizacional com status “Bloqueado” não pode criar novas requisições. Requisições com status “Pendente” dessa unidade transitam automaticamente para “Suspensa”. Requisições já em “Em Processamento” (material fisicamente separado) não são suspensas, mas devem ser sinalizadas ao gestor para decisão manual.</w:t>
      </w:r>
    </w:p>
    <w:p>
      <w:pPr>
        <w:spacing w:after="120"/>
      </w:pPr>
      <w:r>
        <w:rPr>
          <w:rFonts w:ascii="Arial" w:cs="Arial" w:eastAsia="Arial" w:hAnsi="Arial"/>
          <w:b/>
          <w:bCs/>
          <w:color w:val="1B3A5C"/>
          <w:sz w:val="22"/>
          <w:szCs w:val="22"/>
        </w:rPr>
        <w:t xml:space="preserve">RN-005 </w:t>
      </w:r>
      <w:r>
        <w:rPr>
          <w:rFonts w:ascii="Arial" w:cs="Arial" w:eastAsia="Arial" w:hAnsi="Arial"/>
          <w:b/>
          <w:bCs/>
          <w:color w:val="555555"/>
          <w:sz w:val="20"/>
          <w:szCs w:val="20"/>
        </w:rPr>
        <w:t xml:space="preserve">[] </w:t>
      </w:r>
      <w:r>
        <w:rPr>
          <w:rFonts w:ascii="Arial" w:cs="Arial" w:eastAsia="Arial" w:hAnsi="Arial"/>
          <w:sz w:val="22"/>
          <w:szCs w:val="22"/>
        </w:rPr>
        <w:t xml:space="preserve">Garantia de Desfazimento Legal: Nenhuma saída por motivo de Desfazimento pode ser efetivada sem: (a) justificativa textual, (b) upload do Parecer Técnico em PDF, (c) número de processo SEI válido (formato validado por RF-039), (d) assinatura eletrônica do Termo de Desfazimento (RF-040).</w:t>
      </w:r>
    </w:p>
    <w:p>
      <w:pPr>
        <w:spacing w:after="120"/>
      </w:pPr>
      <w:r>
        <w:rPr>
          <w:rFonts w:ascii="Arial" w:cs="Arial" w:eastAsia="Arial" w:hAnsi="Arial"/>
          <w:b/>
          <w:bCs/>
          <w:color w:val="1B3A5C"/>
          <w:sz w:val="22"/>
          <w:szCs w:val="22"/>
        </w:rPr>
        <w:t xml:space="preserve">RN-006 </w:t>
      </w:r>
      <w:r>
        <w:rPr>
          <w:rFonts w:ascii="Arial" w:cs="Arial" w:eastAsia="Arial" w:hAnsi="Arial"/>
          <w:b/>
          <w:bCs/>
          <w:color w:val="555555"/>
          <w:sz w:val="20"/>
          <w:szCs w:val="20"/>
        </w:rPr>
        <w:t xml:space="preserve">[] </w:t>
      </w:r>
      <w:r>
        <w:rPr>
          <w:rFonts w:ascii="Arial" w:cs="Arial" w:eastAsia="Arial" w:hAnsi="Arial"/>
          <w:sz w:val="22"/>
          <w:szCs w:val="22"/>
        </w:rPr>
        <w:t xml:space="preserve">Herança de Despesa: Todo material herda, obrigatoriamente, as regras contábeis do Elemento de Despesa associado ao Grupo ao qual pertence, bloqueando alocações financeiras cruzadas.</w:t>
      </w:r>
    </w:p>
    <w:p>
      <w:pPr>
        <w:spacing w:after="120"/>
      </w:pPr>
      <w:r>
        <w:rPr>
          <w:rFonts w:ascii="Arial" w:cs="Arial" w:eastAsia="Arial" w:hAnsi="Arial"/>
          <w:b/>
          <w:bCs/>
          <w:color w:val="1B3A5C"/>
          <w:sz w:val="22"/>
          <w:szCs w:val="22"/>
        </w:rPr>
        <w:t xml:space="preserve">RN-007 </w:t>
      </w:r>
      <w:r>
        <w:rPr>
          <w:rFonts w:ascii="Arial" w:cs="Arial" w:eastAsia="Arial" w:hAnsi="Arial"/>
          <w:b/>
          <w:bCs/>
          <w:color w:val="555555"/>
          <w:sz w:val="20"/>
          <w:szCs w:val="20"/>
        </w:rPr>
        <w:t xml:space="preserve">[] </w:t>
      </w:r>
      <w:r>
        <w:rPr>
          <w:rFonts w:ascii="Arial" w:cs="Arial" w:eastAsia="Arial" w:hAnsi="Arial"/>
          <w:sz w:val="22"/>
          <w:szCs w:val="22"/>
        </w:rPr>
        <w:t xml:space="preserve">Política de Saída de Lotes: Saídas de material devem seguir política FEFO (First Expired, First Out) quando o item possui controle de validade, e FIFO (First In, First Out) nos demais casos. Override manual permitido apenas com justificativa registrada em log.</w:t>
      </w:r>
    </w:p>
    <w:p>
      <w:pPr>
        <w:spacing w:after="120"/>
      </w:pPr>
      <w:r>
        <w:rPr>
          <w:rFonts w:ascii="Arial" w:cs="Arial" w:eastAsia="Arial" w:hAnsi="Arial"/>
          <w:b/>
          <w:bCs/>
          <w:color w:val="1B3A5C"/>
          <w:sz w:val="22"/>
          <w:szCs w:val="22"/>
        </w:rPr>
        <w:t xml:space="preserve">RN-008 </w:t>
      </w:r>
      <w:r>
        <w:rPr>
          <w:rFonts w:ascii="Arial" w:cs="Arial" w:eastAsia="Arial" w:hAnsi="Arial"/>
          <w:b/>
          <w:bCs/>
          <w:color w:val="555555"/>
          <w:sz w:val="20"/>
          <w:szCs w:val="20"/>
        </w:rPr>
        <w:t xml:space="preserve">[] </w:t>
      </w:r>
      <w:r>
        <w:rPr>
          <w:rFonts w:ascii="Arial" w:cs="Arial" w:eastAsia="Arial" w:hAnsi="Arial"/>
          <w:sz w:val="22"/>
          <w:szCs w:val="22"/>
        </w:rPr>
        <w:t xml:space="preserve">Restrições de Rollback: Rollback de status de requisições só é permitido dentro de 24h da última transição, exclusivamente por perfil Gestor Central. Se estoque já foi movimentado, gera lançamento compensatório (ver RF-015).</w:t>
      </w:r>
    </w:p>
    <w:p>
      <w:pPr>
        <w:spacing w:after="120"/>
      </w:pPr>
      <w:r>
        <w:rPr>
          <w:rFonts w:ascii="Arial" w:cs="Arial" w:eastAsia="Arial" w:hAnsi="Arial"/>
          <w:b/>
          <w:bCs/>
          <w:color w:val="1B3A5C"/>
          <w:sz w:val="22"/>
          <w:szCs w:val="22"/>
        </w:rPr>
        <w:t xml:space="preserve">RN-009 </w:t>
      </w:r>
      <w:r>
        <w:rPr>
          <w:rFonts w:ascii="Arial" w:cs="Arial" w:eastAsia="Arial" w:hAnsi="Arial"/>
          <w:b/>
          <w:bCs/>
          <w:color w:val="555555"/>
          <w:sz w:val="20"/>
          <w:szCs w:val="20"/>
        </w:rPr>
        <w:t xml:space="preserve">[] </w:t>
      </w:r>
      <w:r>
        <w:rPr>
          <w:rFonts w:ascii="Arial" w:cs="Arial" w:eastAsia="Arial" w:hAnsi="Arial"/>
          <w:sz w:val="22"/>
          <w:szCs w:val="22"/>
        </w:rPr>
        <w:t xml:space="preserve">Saldo Não-Negativo: O saldo de estoque não pode ser negativo em nenhuma circunstância. Operações que resultariam em saldo negativo devem ser bloqueadas com mensagem explícita ao operador. Enforce via constraint no banco de dados e validação na camada de aplicação.</w:t>
      </w:r>
    </w:p>
    <w:p>
      <w:pPr>
        <w:spacing w:after="120"/>
      </w:pPr>
      <w:r>
        <w:rPr>
          <w:rFonts w:ascii="Arial" w:cs="Arial" w:eastAsia="Arial" w:hAnsi="Arial"/>
          <w:b/>
          <w:bCs/>
          <w:color w:val="1B3A5C"/>
          <w:sz w:val="22"/>
          <w:szCs w:val="22"/>
        </w:rPr>
        <w:t xml:space="preserve">RN-010 </w:t>
      </w:r>
      <w:r>
        <w:rPr>
          <w:rFonts w:ascii="Arial" w:cs="Arial" w:eastAsia="Arial" w:hAnsi="Arial"/>
          <w:b/>
          <w:bCs/>
          <w:color w:val="555555"/>
          <w:sz w:val="20"/>
          <w:szCs w:val="20"/>
        </w:rPr>
        <w:t xml:space="preserve">[] </w:t>
      </w:r>
      <w:r>
        <w:rPr>
          <w:rFonts w:ascii="Arial" w:cs="Arial" w:eastAsia="Arial" w:hAnsi="Arial"/>
          <w:sz w:val="22"/>
          <w:szCs w:val="22"/>
        </w:rPr>
        <w:t xml:space="preserve">Isolamento de Almoxarifado (RBAC): Gestores de almoxarifados setoriais possuem permissões restritas ao almoxarifado ao qual estão vinculados. Gestores centrais possuem visibilidade e operação sobre todos os almoxarifados da hierarquia. Políticas enforced via Casbin (RNF-003).</w:t>
      </w:r>
    </w:p>
    <w:p>
      <w:pPr>
        <w:spacing w:after="120"/>
      </w:pPr>
      <w:r>
        <w:rPr>
          <w:rFonts w:ascii="Arial" w:cs="Arial" w:eastAsia="Arial" w:hAnsi="Arial"/>
          <w:b/>
          <w:bCs/>
          <w:color w:val="1B3A5C"/>
          <w:sz w:val="22"/>
          <w:szCs w:val="22"/>
        </w:rPr>
        <w:t xml:space="preserve">RN-011 </w:t>
      </w:r>
      <w:r>
        <w:rPr>
          <w:rFonts w:ascii="Arial" w:cs="Arial" w:eastAsia="Arial" w:hAnsi="Arial"/>
          <w:b/>
          <w:bCs/>
          <w:color w:val="555555"/>
          <w:sz w:val="20"/>
          <w:szCs w:val="20"/>
        </w:rPr>
        <w:t xml:space="preserve">[] </w:t>
      </w:r>
      <w:r>
        <w:rPr>
          <w:rFonts w:ascii="Arial" w:cs="Arial" w:eastAsia="Arial" w:hAnsi="Arial"/>
          <w:sz w:val="22"/>
          <w:szCs w:val="22"/>
        </w:rPr>
        <w:t xml:space="preserve">Concorrência de Estoque: Operações de movimentação de estoque (saída, transferência) utilizam pessimistic locking no nível de lote. Edição de requisições utiliza optimistic locking (versioning) com detecção de conflito e feedback ao usuário.</w:t>
      </w:r>
    </w:p>
    <w:p>
      <w:r>
        <w:br w:type="page"/>
      </w:r>
    </w:p>
    <w:p>
      <w:pPr>
        <w:pStyle w:val="Heading1"/>
      </w:pPr>
      <w:r>
        <w:t xml:space="preserve">8. Casos de Uso (Cenários Críticos)</w:t>
      </w:r>
    </w:p>
    <w:p>
      <w:pPr>
        <w:pStyle w:val="Heading2"/>
      </w:pPr>
      <w:r>
        <w:t xml:space="preserve">UC-001: Requisição de Materiais por Unidade</w:t>
      </w:r>
    </w:p>
    <w:p>
      <w:pPr>
        <w:pStyle w:val="Heading3"/>
      </w:pPr>
      <w:r>
        <w:t xml:space="preserve">Fluxo Principal</w:t>
      </w:r>
    </w:p>
    <w:p>
      <w:pPr>
        <w:pStyle w:val="ListParagraph"/>
        <w:numPr>
          <w:ilvl w:val="0"/>
          <w:numId w:val="3"/>
        </w:numPr>
        <w:spacing w:after="60"/>
      </w:pPr>
      <w:r>
        <w:rPr>
          <w:rFonts w:ascii="Arial" w:cs="Arial" w:eastAsia="Arial" w:hAnsi="Arial"/>
          <w:sz w:val="22"/>
          <w:szCs w:val="22"/>
        </w:rPr>
        <w:t xml:space="preserve">O Requisitante acessa o sistema e seleciona os itens desejados do catálogo ativo.</w:t>
      </w:r>
    </w:p>
    <w:p>
      <w:pPr>
        <w:pStyle w:val="ListParagraph"/>
        <w:numPr>
          <w:ilvl w:val="0"/>
          <w:numId w:val="3"/>
        </w:numPr>
        <w:spacing w:after="60"/>
      </w:pPr>
      <w:r>
        <w:rPr>
          <w:rFonts w:ascii="Arial" w:cs="Arial" w:eastAsia="Arial" w:hAnsi="Arial"/>
          <w:sz w:val="22"/>
          <w:szCs w:val="22"/>
        </w:rPr>
        <w:t xml:space="preserve">O sistema valida as regras de restrição temporal (RN-003) e o status da unidade (RN-004).</w:t>
      </w:r>
    </w:p>
    <w:p>
      <w:pPr>
        <w:pStyle w:val="ListParagraph"/>
        <w:numPr>
          <w:ilvl w:val="0"/>
          <w:numId w:val="3"/>
        </w:numPr>
        <w:spacing w:after="60"/>
      </w:pPr>
      <w:r>
        <w:rPr>
          <w:rFonts w:ascii="Arial" w:cs="Arial" w:eastAsia="Arial" w:hAnsi="Arial"/>
          <w:sz w:val="22"/>
          <w:szCs w:val="22"/>
        </w:rPr>
        <w:t xml:space="preserve">O Requisitante define a prioridade e submete o pedido (Status: Pendente).</w:t>
      </w:r>
    </w:p>
    <w:p>
      <w:pPr>
        <w:pStyle w:val="ListParagraph"/>
        <w:numPr>
          <w:ilvl w:val="0"/>
          <w:numId w:val="3"/>
        </w:numPr>
        <w:spacing w:after="60"/>
      </w:pPr>
      <w:r>
        <w:rPr>
          <w:rFonts w:ascii="Arial" w:cs="Arial" w:eastAsia="Arial" w:hAnsi="Arial"/>
          <w:sz w:val="22"/>
          <w:szCs w:val="22"/>
        </w:rPr>
        <w:t xml:space="preserve">O Gestor do Almoxarifado avalia o estoque (sugestão de lotes via FEFO/FIFO — RN-007) e aprova o pedido, podendo aprovar parcialmente com justificativa obrigatória de corte.</w:t>
      </w:r>
    </w:p>
    <w:p>
      <w:pPr>
        <w:pStyle w:val="ListParagraph"/>
        <w:numPr>
          <w:ilvl w:val="0"/>
          <w:numId w:val="3"/>
        </w:numPr>
        <w:spacing w:after="60"/>
      </w:pPr>
      <w:r>
        <w:rPr>
          <w:rFonts w:ascii="Arial" w:cs="Arial" w:eastAsia="Arial" w:hAnsi="Arial"/>
          <w:sz w:val="22"/>
          <w:szCs w:val="22"/>
        </w:rPr>
        <w:t xml:space="preserve">O pedido avança para Em Processamento e, após a retirada física, para Atendida ou Parcialmente Atendida. O sistema deduz o estoque e notifica o requisitante (RF-029).</w:t>
      </w:r>
    </w:p>
    <w:p>
      <w:pPr>
        <w:pStyle w:val="Heading3"/>
      </w:pPr>
      <w:r>
        <w:t xml:space="preserve">Fluxos Alternativos</w:t>
      </w:r>
    </w:p>
    <w:p>
      <w:pPr>
        <w:pStyle w:val="ListParagraph"/>
        <w:numPr>
          <w:ilvl w:val="0"/>
          <w:numId w:val="2"/>
        </w:numPr>
        <w:spacing w:after="60"/>
      </w:pPr>
      <w:r>
        <w:rPr>
          <w:b/>
          <w:bCs/>
        </w:rPr>
        <w:t xml:space="preserve">FA-01 (Unidade Bloqueada): </w:t>
      </w:r>
      <w:r>
        <w:t xml:space="preserve">No passo 2, se a unidade está bloqueada (RN-004), o sistema impede a criação e exibe mensagem informando o bloqueio e o motivo.</w:t>
      </w:r>
    </w:p>
    <w:p>
      <w:pPr>
        <w:pStyle w:val="ListParagraph"/>
        <w:numPr>
          <w:ilvl w:val="0"/>
          <w:numId w:val="2"/>
        </w:numPr>
        <w:spacing w:after="60"/>
      </w:pPr>
      <w:r>
        <w:rPr>
          <w:b/>
          <w:bCs/>
        </w:rPr>
        <w:t xml:space="preserve">FA-02 (Restrição Temporal): </w:t>
      </w:r>
      <w:r>
        <w:t xml:space="preserve">No passo 2, se o item viola restrição temporal (RN-003), o sistema impede a inclusão do item e informa a data da próxima solicitação permitida.</w:t>
      </w:r>
    </w:p>
    <w:p>
      <w:pPr>
        <w:pStyle w:val="ListParagraph"/>
        <w:numPr>
          <w:ilvl w:val="0"/>
          <w:numId w:val="2"/>
        </w:numPr>
        <w:spacing w:after="60"/>
      </w:pPr>
      <w:r>
        <w:rPr>
          <w:b/>
          <w:bCs/>
        </w:rPr>
        <w:t xml:space="preserve">FA-03 (Rejeição): </w:t>
      </w:r>
      <w:r>
        <w:t xml:space="preserve">No passo 4, o gestor rejeita a requisição com justificativa. Status transita para Rejeitada. O requisitante é notificado e pode resubmeter (Rejeitada → Rascunho).</w:t>
      </w:r>
    </w:p>
    <w:p>
      <w:pPr>
        <w:pStyle w:val="Heading3"/>
      </w:pPr>
      <w:r>
        <w:t xml:space="preserve">Fluxos de Exceção</w:t>
      </w:r>
    </w:p>
    <w:p>
      <w:pPr>
        <w:pStyle w:val="ListParagraph"/>
        <w:numPr>
          <w:ilvl w:val="0"/>
          <w:numId w:val="2"/>
        </w:numPr>
        <w:spacing w:after="60"/>
      </w:pPr>
      <w:r>
        <w:rPr>
          <w:b/>
          <w:bCs/>
        </w:rPr>
        <w:t xml:space="preserve">EX-01 (Conflito de Concorrência): </w:t>
      </w:r>
      <w:r>
        <w:t xml:space="preserve">Se dois gestores tentam aprovar/rejeitar a mesma requisição, o sistema detecta via optimistic locking (RN-011) e informa o segundo operador que a requisição já foi processada.</w:t>
      </w:r>
    </w:p>
    <w:p>
      <w:pPr>
        <w:pStyle w:val="ListParagraph"/>
        <w:numPr>
          <w:ilvl w:val="0"/>
          <w:numId w:val="2"/>
        </w:numPr>
        <w:spacing w:after="60"/>
      </w:pPr>
      <w:r>
        <w:rPr>
          <w:b/>
          <w:bCs/>
        </w:rPr>
        <w:t xml:space="preserve">EX-02 (Estoque Insuficiente após Aprovação): </w:t>
      </w:r>
      <w:r>
        <w:t xml:space="preserve">Se entre a aprovação e o processamento o estoque ficar insuficiente (ex: transferência concorrente), o sistema alerta o gestor para atendimento parcial ou cancelamento.</w:t>
      </w:r>
    </w:p>
    <w:p>
      <w:pPr>
        <w:spacing w:after="100"/>
      </w:pPr>
    </w:p>
    <w:p>
      <w:pPr>
        <w:pStyle w:val="Heading2"/>
      </w:pPr>
      <w:r>
        <w:t xml:space="preserve">UC-002: Entrada de Material por Empenho (Conciliação Comprasnet)</w:t>
      </w:r>
    </w:p>
    <w:p>
      <w:pPr>
        <w:pStyle w:val="Heading3"/>
      </w:pPr>
      <w:r>
        <w:t xml:space="preserve">Fluxo Principal</w:t>
      </w:r>
    </w:p>
    <w:p>
      <w:pPr>
        <w:pStyle w:val="ListParagraph"/>
        <w:numPr>
          <w:ilvl w:val="0"/>
          <w:numId w:val="4"/>
        </w:numPr>
        <w:spacing w:after="60"/>
      </w:pPr>
      <w:r>
        <w:rPr>
          <w:rFonts w:ascii="Arial" w:cs="Arial" w:eastAsia="Arial" w:hAnsi="Arial"/>
          <w:sz w:val="22"/>
          <w:szCs w:val="22"/>
        </w:rPr>
        <w:t xml:space="preserve">O Conferente inicia uma entrada via Nota Fiscal e informa o Número do Empenho.</w:t>
      </w:r>
    </w:p>
    <w:p>
      <w:pPr>
        <w:pStyle w:val="ListParagraph"/>
        <w:numPr>
          <w:ilvl w:val="0"/>
          <w:numId w:val="4"/>
        </w:numPr>
        <w:spacing w:after="60"/>
      </w:pPr>
      <w:r>
        <w:rPr>
          <w:rFonts w:ascii="Arial" w:cs="Arial" w:eastAsia="Arial" w:hAnsi="Arial"/>
          <w:sz w:val="22"/>
          <w:szCs w:val="22"/>
        </w:rPr>
        <w:t xml:space="preserve">O sistema consulta o Comprasnet via API e importa a relação esperada de itens, valores e quantitativos.</w:t>
      </w:r>
    </w:p>
    <w:p>
      <w:pPr>
        <w:pStyle w:val="ListParagraph"/>
        <w:numPr>
          <w:ilvl w:val="0"/>
          <w:numId w:val="4"/>
        </w:numPr>
        <w:spacing w:after="60"/>
      </w:pPr>
      <w:r>
        <w:rPr>
          <w:rFonts w:ascii="Arial" w:cs="Arial" w:eastAsia="Arial" w:hAnsi="Arial"/>
          <w:sz w:val="22"/>
          <w:szCs w:val="22"/>
        </w:rPr>
        <w:t xml:space="preserve">O Conferente insere as quantidades recebidas na NF.</w:t>
      </w:r>
    </w:p>
    <w:p>
      <w:pPr>
        <w:pStyle w:val="ListParagraph"/>
        <w:numPr>
          <w:ilvl w:val="0"/>
          <w:numId w:val="4"/>
        </w:numPr>
        <w:spacing w:after="60"/>
      </w:pPr>
      <w:r>
        <w:rPr>
          <w:rFonts w:ascii="Arial" w:cs="Arial" w:eastAsia="Arial" w:hAnsi="Arial"/>
          <w:sz w:val="22"/>
          <w:szCs w:val="22"/>
        </w:rPr>
        <w:t xml:space="preserve">O sistema verifica se as quantidades e valores coincidem com o limite do empenho (RN-002).</w:t>
      </w:r>
    </w:p>
    <w:p>
      <w:pPr>
        <w:pStyle w:val="ListParagraph"/>
        <w:numPr>
          <w:ilvl w:val="0"/>
          <w:numId w:val="4"/>
        </w:numPr>
        <w:spacing w:after="60"/>
      </w:pPr>
      <w:r>
        <w:rPr>
          <w:rFonts w:ascii="Arial" w:cs="Arial" w:eastAsia="Arial" w:hAnsi="Arial"/>
          <w:sz w:val="22"/>
          <w:szCs w:val="22"/>
        </w:rPr>
        <w:t xml:space="preserve">Validado com sucesso, o sistema converte a unidade de entrada para a de distribuição (RF-005), atualiza o saldo físico e financeiro do Almoxarifado Central e registra o log de auditoria.</w:t>
      </w:r>
    </w:p>
    <w:p>
      <w:pPr>
        <w:pStyle w:val="Heading3"/>
      </w:pPr>
      <w:r>
        <w:t xml:space="preserve">Fluxos Alternativos</w:t>
      </w:r>
    </w:p>
    <w:p>
      <w:pPr>
        <w:pStyle w:val="ListParagraph"/>
        <w:numPr>
          <w:ilvl w:val="0"/>
          <w:numId w:val="2"/>
        </w:numPr>
        <w:spacing w:after="60"/>
      </w:pPr>
      <w:r>
        <w:rPr>
          <w:b/>
          <w:bCs/>
        </w:rPr>
        <w:t xml:space="preserve">FA-01 (Glosa/Ajuste): </w:t>
      </w:r>
      <w:r>
        <w:t xml:space="preserve">No passo 3, o conferente identifica itens com avaria ou divergência. Utiliza RF-023 para registrar estorno parcial ou recusa de itens específicos, mantendo NF original imutável.</w:t>
      </w:r>
    </w:p>
    <w:p>
      <w:pPr>
        <w:pStyle w:val="ListParagraph"/>
        <w:numPr>
          <w:ilvl w:val="0"/>
          <w:numId w:val="2"/>
        </w:numPr>
        <w:spacing w:after="60"/>
      </w:pPr>
      <w:r>
        <w:rPr>
          <w:b/>
          <w:bCs/>
        </w:rPr>
        <w:t xml:space="preserve">FA-02 (Conversão Fracionária): </w:t>
      </w:r>
      <w:r>
        <w:t xml:space="preserve">No passo 5, se a conversão de unidades resultar em valor fracionário, o sistema rejeita a operação e solicita correção da quantidade (RF-004).</w:t>
      </w:r>
    </w:p>
    <w:p>
      <w:pPr>
        <w:pStyle w:val="Heading3"/>
      </w:pPr>
      <w:r>
        <w:t xml:space="preserve">Fluxos de Exceção</w:t>
      </w:r>
    </w:p>
    <w:p>
      <w:pPr>
        <w:pStyle w:val="ListParagraph"/>
        <w:numPr>
          <w:ilvl w:val="0"/>
          <w:numId w:val="2"/>
        </w:numPr>
        <w:spacing w:after="60"/>
      </w:pPr>
      <w:r>
        <w:rPr>
          <w:b/>
          <w:bCs/>
        </w:rPr>
        <w:t xml:space="preserve">EX-01 (Comprasnet Indisponível): </w:t>
      </w:r>
      <w:r>
        <w:t xml:space="preserve">No passo 2, se a API está fora do ar, o sistema oferece modo “pendente de conciliação” (RF-033). A entrada é registrada com flag e conciliada automaticamente quando a API retornar.</w:t>
      </w:r>
    </w:p>
    <w:p>
      <w:pPr>
        <w:pStyle w:val="ListParagraph"/>
        <w:numPr>
          <w:ilvl w:val="0"/>
          <w:numId w:val="2"/>
        </w:numPr>
        <w:spacing w:after="60"/>
      </w:pPr>
      <w:r>
        <w:rPr>
          <w:b/>
          <w:bCs/>
        </w:rPr>
        <w:t xml:space="preserve">EX-02 (Empenho Não Encontrado): </w:t>
      </w:r>
      <w:r>
        <w:t xml:space="preserve">No passo 2, se o número de empenho não retorna resultados do Comprasnet, o sistema bloqueia a entrada e orienta o conferente a verificar o número ou utilizar entrada avulsa (RF-009) se aplicável.</w:t>
      </w:r>
    </w:p>
    <w:p>
      <w:pPr>
        <w:spacing w:after="100"/>
      </w:pPr>
    </w:p>
    <w:p>
      <w:pPr>
        <w:pStyle w:val="Heading2"/>
      </w:pPr>
      <w:r>
        <w:t xml:space="preserve">UC-003: Transferência entre Almoxarifados</w:t>
      </w:r>
    </w:p>
    <w:p>
      <w:pPr>
        <w:pStyle w:val="Heading3"/>
      </w:pPr>
      <w:r>
        <w:t xml:space="preserve">Fluxo Principal</w:t>
      </w:r>
    </w:p>
    <w:p>
      <w:pPr>
        <w:pStyle w:val="ListParagraph"/>
        <w:numPr>
          <w:ilvl w:val="0"/>
          <w:numId w:val="5"/>
        </w:numPr>
        <w:spacing w:after="60"/>
      </w:pPr>
      <w:r>
        <w:rPr>
          <w:rFonts w:ascii="Arial" w:cs="Arial" w:eastAsia="Arial" w:hAnsi="Arial"/>
          <w:sz w:val="22"/>
          <w:szCs w:val="22"/>
        </w:rPr>
        <w:t xml:space="preserve">O Gestor do Almoxarifado Central inicia uma transferência de itens.</w:t>
      </w:r>
    </w:p>
    <w:p>
      <w:pPr>
        <w:pStyle w:val="ListParagraph"/>
        <w:numPr>
          <w:ilvl w:val="0"/>
          <w:numId w:val="5"/>
        </w:numPr>
        <w:spacing w:after="60"/>
      </w:pPr>
      <w:r>
        <w:rPr>
          <w:rFonts w:ascii="Arial" w:cs="Arial" w:eastAsia="Arial" w:hAnsi="Arial"/>
          <w:sz w:val="22"/>
          <w:szCs w:val="22"/>
        </w:rPr>
        <w:t xml:space="preserve">Seleciona o Almoxarifado Setorial de destino e os lotes a serem enviados (sugestão FEFO/FIFO — RN-007).</w:t>
      </w:r>
    </w:p>
    <w:p>
      <w:pPr>
        <w:pStyle w:val="ListParagraph"/>
        <w:numPr>
          <w:ilvl w:val="0"/>
          <w:numId w:val="5"/>
        </w:numPr>
        <w:spacing w:after="60"/>
      </w:pPr>
      <w:r>
        <w:rPr>
          <w:rFonts w:ascii="Arial" w:cs="Arial" w:eastAsia="Arial" w:hAnsi="Arial"/>
          <w:sz w:val="22"/>
          <w:szCs w:val="22"/>
        </w:rPr>
        <w:t xml:space="preserve">O sistema reserva os itens no estoque de origem via pessimistic locking (RN-011), impedindo saída simultânea.</w:t>
      </w:r>
    </w:p>
    <w:p>
      <w:pPr>
        <w:pStyle w:val="ListParagraph"/>
        <w:numPr>
          <w:ilvl w:val="0"/>
          <w:numId w:val="5"/>
        </w:numPr>
        <w:spacing w:after="60"/>
      </w:pPr>
      <w:r>
        <w:rPr>
          <w:rFonts w:ascii="Arial" w:cs="Arial" w:eastAsia="Arial" w:hAnsi="Arial"/>
          <w:sz w:val="22"/>
          <w:szCs w:val="22"/>
        </w:rPr>
        <w:t xml:space="preserve">O Gestor do Almoxarifado Setorial acusa o recebimento no sistema.</w:t>
      </w:r>
    </w:p>
    <w:p>
      <w:pPr>
        <w:pStyle w:val="ListParagraph"/>
        <w:numPr>
          <w:ilvl w:val="0"/>
          <w:numId w:val="5"/>
        </w:numPr>
        <w:spacing w:after="60"/>
      </w:pPr>
      <w:r>
        <w:rPr>
          <w:rFonts w:ascii="Arial" w:cs="Arial" w:eastAsia="Arial" w:hAnsi="Arial"/>
          <w:sz w:val="22"/>
          <w:szCs w:val="22"/>
        </w:rPr>
        <w:t xml:space="preserve">O sistema efetiva a baixa na origem e a entrada no destino de forma transacional e atômica, gerando Termo de Transferência com assinatura eletrônica (RF-040).</w:t>
      </w:r>
    </w:p>
    <w:p>
      <w:pPr>
        <w:pStyle w:val="Heading3"/>
      </w:pPr>
      <w:r>
        <w:t xml:space="preserve">Fluxos Alternativos</w:t>
      </w:r>
    </w:p>
    <w:p>
      <w:pPr>
        <w:pStyle w:val="ListParagraph"/>
        <w:numPr>
          <w:ilvl w:val="0"/>
          <w:numId w:val="2"/>
        </w:numPr>
        <w:spacing w:after="60"/>
      </w:pPr>
      <w:r>
        <w:rPr>
          <w:b/>
          <w:bCs/>
        </w:rPr>
        <w:t xml:space="preserve">FA-01 (Rejeição pelo Destino): </w:t>
      </w:r>
      <w:r>
        <w:t xml:space="preserve">No passo 4, o gestor do destino rejeita o recebimento (ex: material danificado em trânsito). O sistema libera a reserva na origem, restaura o saldo e registra a ocorrência no log.</w:t>
      </w:r>
    </w:p>
    <w:p>
      <w:pPr>
        <w:pStyle w:val="ListParagraph"/>
        <w:numPr>
          <w:ilvl w:val="0"/>
          <w:numId w:val="2"/>
        </w:numPr>
        <w:spacing w:after="60"/>
      </w:pPr>
      <w:r>
        <w:rPr>
          <w:b/>
          <w:bCs/>
        </w:rPr>
        <w:t xml:space="preserve">FA-02 (Recebimento Parcial): </w:t>
      </w:r>
      <w:r>
        <w:t xml:space="preserve">No passo 4, o gestor do destino confirma recebimento parcial (ex: faltou 1 caixa). O sistema efetiva transferência parcial e gera alerta de divergência para o gestor de origem.</w:t>
      </w:r>
    </w:p>
    <w:p>
      <w:pPr>
        <w:pStyle w:val="Heading3"/>
      </w:pPr>
      <w:r>
        <w:t xml:space="preserve">Fluxos de Exceção</w:t>
      </w:r>
    </w:p>
    <w:p>
      <w:pPr>
        <w:pStyle w:val="ListParagraph"/>
        <w:numPr>
          <w:ilvl w:val="0"/>
          <w:numId w:val="2"/>
        </w:numPr>
        <w:spacing w:after="60"/>
      </w:pPr>
      <w:r>
        <w:rPr>
          <w:b/>
          <w:bCs/>
        </w:rPr>
        <w:t xml:space="preserve">EX-01 (Timeout de Reserva): </w:t>
      </w:r>
      <w:r>
        <w:t xml:space="preserve">Se o destino não confirmar o recebimento em prazo configurável (ex: 72h), o sistema libera automaticamente a reserva, cancela a transferência e notifica ambos os gestores.</w:t>
      </w:r>
    </w:p>
    <w:p>
      <w:pPr>
        <w:spacing w:after="100"/>
      </w:pPr>
    </w:p>
    <w:p>
      <w:pPr>
        <w:pStyle w:val="Heading2"/>
      </w:pPr>
      <w:r>
        <w:t xml:space="preserve">UC-004: Desfazimento / Baixa de Inservíveis</w:t>
      </w:r>
    </w:p>
    <w:p>
      <w:pPr>
        <w:pStyle w:val="Heading3"/>
      </w:pPr>
      <w:r>
        <w:t xml:space="preserve">Fluxo Principal</w:t>
      </w:r>
    </w:p>
    <w:p>
      <w:pPr>
        <w:pStyle w:val="ListParagraph"/>
        <w:numPr>
          <w:ilvl w:val="0"/>
          <w:numId w:val="6"/>
        </w:numPr>
        <w:spacing w:after="60"/>
      </w:pPr>
      <w:r>
        <w:rPr>
          <w:rFonts w:ascii="Arial" w:cs="Arial" w:eastAsia="Arial" w:hAnsi="Arial"/>
          <w:sz w:val="22"/>
          <w:szCs w:val="22"/>
        </w:rPr>
        <w:t xml:space="preserve">O Gestor identifica materiais com validade expirada (ou alertados via RF-021/RF-022).</w:t>
      </w:r>
    </w:p>
    <w:p>
      <w:pPr>
        <w:pStyle w:val="ListParagraph"/>
        <w:numPr>
          <w:ilvl w:val="0"/>
          <w:numId w:val="6"/>
        </w:numPr>
        <w:spacing w:after="60"/>
      </w:pPr>
      <w:r>
        <w:rPr>
          <w:rFonts w:ascii="Arial" w:cs="Arial" w:eastAsia="Arial" w:hAnsi="Arial"/>
          <w:sz w:val="22"/>
          <w:szCs w:val="22"/>
        </w:rPr>
        <w:t xml:space="preserve">Inicia o processo de Saída por Desfazimento.</w:t>
      </w:r>
    </w:p>
    <w:p>
      <w:pPr>
        <w:pStyle w:val="ListParagraph"/>
        <w:numPr>
          <w:ilvl w:val="0"/>
          <w:numId w:val="6"/>
        </w:numPr>
        <w:spacing w:after="60"/>
      </w:pPr>
      <w:r>
        <w:rPr>
          <w:rFonts w:ascii="Arial" w:cs="Arial" w:eastAsia="Arial" w:hAnsi="Arial"/>
          <w:sz w:val="22"/>
          <w:szCs w:val="22"/>
        </w:rPr>
        <w:t xml:space="preserve">O sistema exige: justificativa textual, upload do Parecer Técnico (PDF), protocolo SEI validado (RF-039) — conforme RN-005.</w:t>
      </w:r>
    </w:p>
    <w:p>
      <w:pPr>
        <w:pStyle w:val="ListParagraph"/>
        <w:numPr>
          <w:ilvl w:val="0"/>
          <w:numId w:val="6"/>
        </w:numPr>
        <w:spacing w:after="60"/>
      </w:pPr>
      <w:r>
        <w:rPr>
          <w:rFonts w:ascii="Arial" w:cs="Arial" w:eastAsia="Arial" w:hAnsi="Arial"/>
          <w:sz w:val="22"/>
          <w:szCs w:val="22"/>
        </w:rPr>
        <w:t xml:space="preserve">O Gestor confirma a operação. O sistema emite o Termo de Desfazimento, solicita assinatura eletrônica (RF-040) e zera a quantidade no inventário, atualizando o relatório de perdas.</w:t>
      </w:r>
    </w:p>
    <w:p>
      <w:pPr>
        <w:pStyle w:val="Heading3"/>
      </w:pPr>
      <w:r>
        <w:t xml:space="preserve">Fluxos de Exceção</w:t>
      </w:r>
    </w:p>
    <w:p>
      <w:pPr>
        <w:pStyle w:val="ListParagraph"/>
        <w:numPr>
          <w:ilvl w:val="0"/>
          <w:numId w:val="2"/>
        </w:numPr>
        <w:spacing w:after="60"/>
      </w:pPr>
      <w:r>
        <w:rPr>
          <w:b/>
          <w:bCs/>
        </w:rPr>
        <w:t xml:space="preserve">EX-01 (SEI Inválido): </w:t>
      </w:r>
      <w:r>
        <w:t xml:space="preserve">No passo 3, se o formato do protocolo SEI não passa na validação (RF-039), o sistema bloqueia a operação e informa o formato esperado.</w:t>
      </w:r>
    </w:p>
    <w:p>
      <w:pPr>
        <w:pStyle w:val="ListParagraph"/>
        <w:numPr>
          <w:ilvl w:val="0"/>
          <w:numId w:val="2"/>
        </w:numPr>
        <w:spacing w:after="60"/>
      </w:pPr>
      <w:r>
        <w:rPr>
          <w:b/>
          <w:bCs/>
        </w:rPr>
        <w:t xml:space="preserve">EX-02 (Assinatura Indisponível): </w:t>
      </w:r>
      <w:r>
        <w:t xml:space="preserve">No passo 4, se o serviço de assinatura eletrônica estiver indisponível, o sistema registra o desfazimento como “pendente de assinatura” e alerta o gestor para retomar quando o serviço retornar.</w:t>
      </w:r>
    </w:p>
    <w:p>
      <w:r>
        <w:br w:type="page"/>
      </w:r>
    </w:p>
    <w:p>
      <w:pPr>
        <w:pStyle w:val="Heading1"/>
      </w:pPr>
      <w:r>
        <w:t xml:space="preserve">9. Modelos de Dados (Entidades)</w:t>
      </w:r>
    </w:p>
    <w:p>
      <w:pPr>
        <w:spacing w:after="120"/>
      </w:pPr>
      <w:r>
        <w:t xml:space="preserve">Esta seção descreve todas as entidades do sistema com suas cardinalidades. O modelo completo com atributos, chaves e constraints será detalhado no Documento de Arquitetura.</w:t>
      </w:r>
    </w:p>
    <w:p>
      <w:pPr>
        <w:spacing w:after="60"/>
      </w:pPr>
    </w:p>
    <w:p>
      <w:pPr>
        <w:pStyle w:val="Heading2"/>
      </w:pPr>
      <w:r>
        <w:t xml:space="preserve">9.1 Estrutura de Catálogo</w:t>
      </w:r>
    </w:p>
    <w:p>
      <w:pPr>
        <w:spacing w:after="120"/>
      </w:pPr>
      <w:r>
        <w:t xml:space="preserve">Elemento_Despesa (1:N) → Grupo_Material (1:N) → Item_Catalogo (1:N) → Unidade_Conversao</w:t>
      </w:r>
    </w:p>
    <w:p>
      <w:pPr>
        <w:spacing w:after="40"/>
      </w:pPr>
    </w:p>
    <w:p>
      <w:pPr>
        <w:pStyle w:val="Heading2"/>
      </w:pPr>
      <w:r>
        <w:t xml:space="preserve">9.2 Estrutura Organizacional</w:t>
      </w:r>
    </w:p>
    <w:p>
      <w:pPr>
        <w:spacing w:after="120"/>
      </w:pPr>
      <w:r>
        <w:t xml:space="preserve">Unidade_SIORG (1:N) → Requisicao (1:N) → Item_Requisicao</w:t>
      </w:r>
    </w:p>
    <w:p>
      <w:pPr>
        <w:spacing w:after="120"/>
      </w:pPr>
      <w:r>
        <w:t xml:space="preserve">Unidade_SIORG (1:N) → Historico_Status_Unidade</w:t>
      </w:r>
    </w:p>
    <w:p>
      <w:pPr>
        <w:spacing w:after="40"/>
      </w:pPr>
    </w:p>
    <w:p>
      <w:pPr>
        <w:pStyle w:val="Heading2"/>
      </w:pPr>
      <w:r>
        <w:t xml:space="preserve">9.3 Estrutura de Estoque</w:t>
      </w:r>
    </w:p>
    <w:p>
      <w:pPr>
        <w:spacing w:after="120"/>
      </w:pPr>
      <w:r>
        <w:t xml:space="preserve">Almoxarifado (1:N) → Estoque_Lote (N:1) → Item_Catalogo</w:t>
      </w:r>
    </w:p>
    <w:p>
      <w:pPr>
        <w:spacing w:after="120"/>
      </w:pPr>
      <w:r>
        <w:t xml:space="preserve">Estoque_Lote possui: quantidade, data de entrada, data de validade, número do lote, status (ativo/vencido/bloqueado)</w:t>
      </w:r>
    </w:p>
    <w:p>
      <w:pPr>
        <w:spacing w:after="40"/>
      </w:pPr>
    </w:p>
    <w:p>
      <w:pPr>
        <w:pStyle w:val="Heading2"/>
      </w:pPr>
      <w:r>
        <w:t xml:space="preserve">9.4 Movimentação</w:t>
      </w:r>
    </w:p>
    <w:p>
      <w:pPr>
        <w:spacing w:after="120"/>
      </w:pPr>
      <w:r>
        <w:t xml:space="preserve">Movimentacao_Estoque (pertence a 1 Almoxarifado, possui 1 Tipo_Movimentacao [Entrada/Saída/Transferência/Estorno/Ajuste], vinculada a N Itens_Movimentados)</w:t>
      </w:r>
    </w:p>
    <w:p>
      <w:pPr>
        <w:spacing w:after="40"/>
      </w:pPr>
    </w:p>
    <w:p>
      <w:pPr>
        <w:pStyle w:val="Heading2"/>
      </w:pPr>
      <w:r>
        <w:t xml:space="preserve">9.5 Documentos Fiscais e Fornecedores</w:t>
      </w:r>
    </w:p>
    <w:p>
      <w:pPr>
        <w:spacing w:after="120"/>
      </w:pPr>
      <w:r>
        <w:t xml:space="preserve">Fornecedor (1:N) → Nota_Fiscal (1:N) → Item_Nota_Fiscal</w:t>
      </w:r>
    </w:p>
    <w:p>
      <w:pPr>
        <w:spacing w:after="120"/>
      </w:pPr>
      <w:r>
        <w:t xml:space="preserve">Nota_Fiscal (1:N) → Ajuste_Liquidacao (glosa vinculada, imutável)</w:t>
      </w:r>
    </w:p>
    <w:p>
      <w:pPr>
        <w:spacing w:after="120"/>
      </w:pPr>
      <w:r>
        <w:t xml:space="preserve">Empenho (importado do Comprasnet, 1:N) → Item_Empenho (com saldo controlado)</w:t>
      </w:r>
    </w:p>
    <w:p>
      <w:pPr>
        <w:spacing w:after="120"/>
      </w:pPr>
      <w:r>
        <w:t xml:space="preserve">Fornecedor (1:N) → Ocorrencia_Fornecedor (histórico de desempenho)</w:t>
      </w:r>
    </w:p>
    <w:p>
      <w:pPr>
        <w:spacing w:after="40"/>
      </w:pPr>
    </w:p>
    <w:p>
      <w:pPr>
        <w:pStyle w:val="Heading2"/>
      </w:pPr>
      <w:r>
        <w:t xml:space="preserve">9.6 Documentos Operacionais</w:t>
      </w:r>
    </w:p>
    <w:p>
      <w:pPr>
        <w:spacing w:after="120"/>
      </w:pPr>
      <w:r>
        <w:t xml:space="preserve">Ordem_Servico, Parecer_Tecnico (upload PDF), Termo_Inventario, Termo_Desfazimento, Termo_Transferencia</w:t>
      </w:r>
    </w:p>
    <w:p>
      <w:pPr>
        <w:spacing w:after="120"/>
      </w:pPr>
      <w:r>
        <w:t xml:space="preserve">Documentos com responsabilidade patrimonial possuem campo de assinatura eletrônica (RF-040).</w:t>
      </w:r>
    </w:p>
    <w:p>
      <w:pPr>
        <w:spacing w:after="40"/>
      </w:pPr>
    </w:p>
    <w:p>
      <w:pPr>
        <w:pStyle w:val="Heading2"/>
      </w:pPr>
      <w:r>
        <w:t xml:space="preserve">9.7 Alertas</w:t>
      </w:r>
    </w:p>
    <w:p>
      <w:pPr>
        <w:spacing w:after="120"/>
      </w:pPr>
      <w:r>
        <w:t xml:space="preserve">Alerta_Estoque (vínculo com Item_Catalogo e Almoxarifado, tipo: estoque mínimo / vencimento próximo)</w:t>
      </w:r>
    </w:p>
    <w:p>
      <w:pPr>
        <w:spacing w:after="40"/>
      </w:pPr>
    </w:p>
    <w:p>
      <w:pPr>
        <w:pStyle w:val="Heading2"/>
      </w:pPr>
      <w:r>
        <w:t xml:space="preserve">9.8 Auditoria</w:t>
      </w:r>
    </w:p>
    <w:p>
      <w:pPr>
        <w:spacing w:after="120"/>
      </w:pPr>
      <w:r>
        <w:t xml:space="preserve">Log_Auditoria (isolado e protegido por hash chaining — RNF-006): usuario_id, ip, timestamp, acao, entidade, entidade_id, payload_antes, payload_depois, hash_anterior, hash_atual</w:t>
      </w:r>
    </w:p>
    <w:p>
      <w:r>
        <w:br w:type="page"/>
      </w:r>
    </w:p>
    <w:p>
      <w:pPr>
        <w:pStyle w:val="Heading1"/>
      </w:pPr>
      <w:r>
        <w:t xml:space="preserve">10. Critérios de Aceitação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c>
          <w:tcPr>
            <w:tcW w:type="dxa" w:w="10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ID</w:t>
            </w:r>
          </w:p>
        </w:tc>
        <w:tc>
          <w:tcPr>
            <w:tcW w:type="dxa" w:w="24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Critério</w:t>
            </w:r>
          </w:p>
        </w:tc>
        <w:tc>
          <w:tcPr>
            <w:tcW w:type="dxa" w:w="5626"/>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Descrição</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CA-001</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Conformidade Funcional</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Todos os fluxos de entrada e saída devem passar nas validações orçamentárias das Regras de Negócio sem permitir furos de estoque. Saldo negativo não deve ser possível (RN-009).</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CA-002</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Segurança em Camadas</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Tentativas de acesso sem token MFA válido ou sem as permissões adequadas (RBAC) devem ser bloqueadas e registradas em log. Isolamento por almoxarifado (RN-010) deve ser verificado.</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CA-003</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Integridade de Dados</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Nenhuma operação de rollback ou cancelamento pode apagar registros (Hard Delete restrito). O sistema deve utilizar registros compensatórios e Soft Delete (RNF-008).</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CA-004</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Transparência</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Dados do módulo de estoque devem refletir no Portal de Transparência com latência máxima de 5 minutos (near real-time).</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CA-005</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Imutabilidade de Auditoria</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Logs de auditoria devem ser verificáveis via hash chaining (RNF-006). Alteração ou exclusão direta no banco deve ser detectável.</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CA-006</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Resiliência</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O sistema deve operar em modo degradado quando Comprasnet/SIORG estiverem indisponíveis, sem perda de funcionalidade local (RF-033, RF-034).</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CA-007</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Validade Jurídica</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Termos de Desfazimento e Inventário devem possuir assinatura eletrônica válida (RF-040). Documentos sem assinatura não podem encerrar responsabilidade patrimonial.</w:t>
            </w:r>
          </w:p>
        </w:tc>
      </w:tr>
      <w:tr>
        <w:tc>
          <w:tcPr>
            <w:tcW w:type="dxa" w:w="1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CA-008</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Acessibilidade</w:t>
            </w:r>
          </w:p>
        </w:tc>
        <w:tc>
          <w:tcPr>
            <w:tcW w:type="dxa" w:w="5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Todas as interfaces devem atender eMAG 3.1 / WCAG 2.1 AA (RNF-015), verificável por ferramenta automatizada + teste manual.</w:t>
            </w:r>
          </w:p>
        </w:tc>
      </w:tr>
    </w:tbl>
    <w:p>
      <w:r>
        <w:br w:type="page"/>
      </w:r>
    </w:p>
    <w:p>
      <w:pPr>
        <w:pStyle w:val="Heading1"/>
      </w:pPr>
      <w:r>
        <w:t xml:space="preserve">11. Matriz de Rastreabilidade (Resumida)</w:t>
      </w:r>
    </w:p>
    <w:p>
      <w:pPr>
        <w:spacing w:after="120"/>
      </w:pPr>
      <w:r>
        <w:t xml:space="preserve">A matriz completa será mantida como artefato vivo durante o ciclo de desenvolvimento.</w:t>
      </w:r>
    </w:p>
    <w:p>
      <w:pPr>
        <w:spacing w:after="60"/>
      </w:pP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300"/>
        <w:gridCol w:w="1100"/>
        <w:gridCol w:w="1100"/>
        <w:gridCol w:w="1100"/>
        <w:gridCol w:w="1626"/>
      </w:tblGrid>
      <w:tr>
        <w:tc>
          <w:tcPr>
            <w:tcW w:type="dxa" w:w="11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RF</w:t>
            </w:r>
          </w:p>
        </w:tc>
        <w:tc>
          <w:tcPr>
            <w:tcW w:type="dxa" w:w="16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Descrição</w:t>
            </w:r>
          </w:p>
        </w:tc>
        <w:tc>
          <w:tcPr>
            <w:tcW w:type="dxa" w:w="13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RN Vinculada</w:t>
            </w:r>
          </w:p>
        </w:tc>
        <w:tc>
          <w:tcPr>
            <w:tcW w:type="dxa" w:w="11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UC</w:t>
            </w:r>
          </w:p>
        </w:tc>
        <w:tc>
          <w:tcPr>
            <w:tcW w:type="dxa" w:w="11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CA</w:t>
            </w:r>
          </w:p>
        </w:tc>
        <w:tc>
          <w:tcPr>
            <w:tcW w:type="dxa" w:w="11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RNF</w:t>
            </w:r>
          </w:p>
        </w:tc>
        <w:tc>
          <w:tcPr>
            <w:tcW w:type="dxa" w:w="1626"/>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Integração</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RF-008</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Entrada Empenho</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RN-001, RN-002</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UC-002</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CA-001</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RNF-005</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Comprasnet</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RF-012</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Requisição Saída</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RN-003, RN-004</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UC-001</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CA-001</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RNF-003</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RF-013</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Workflow Status</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RN-004, RN-008</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UC-001</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CA-003</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RNF-005</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RF-016</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Desfazimento</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RN-005</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UC-004</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CA-007</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RNF-005</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SEI</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RF-018</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Transferência</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RN-001, RN-011</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UC-003</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CA-001</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RNF-005</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RF-020</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FEFO</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RN-007</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UC-001,003</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CA-001</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RF-023</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Glosas</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RN-002</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UC-002</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CA-003</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RNF-005</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Comprasnet</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RF-025</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Integ. Comprasnet</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RN-002</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UC-002</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CA-006</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RNF-014</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Comprasnet</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RF-033</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Modo Degradado</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UC-002</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CA-006</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RNF-014</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Comprasnet</w:t>
            </w:r>
          </w:p>
        </w:tc>
      </w:tr>
      <w:tr>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RF-040</w:t>
            </w:r>
          </w:p>
        </w:tc>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Assinatura Eletr.</w:t>
            </w:r>
          </w:p>
        </w:tc>
        <w:tc>
          <w:tcPr>
            <w:tcW w:type="dxa" w:w="13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RN-005</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UC-003,004</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CA-007</w:t>
            </w:r>
          </w:p>
        </w:tc>
        <w:tc>
          <w:tcPr>
            <w:tcW w:type="dxa" w:w="11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w:t>
            </w:r>
          </w:p>
        </w:tc>
        <w:tc>
          <w:tcPr>
            <w:tcW w:type="dxa" w:w="16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Gov.br Assinatura</w:t>
            </w:r>
          </w:p>
        </w:tc>
      </w:tr>
    </w:tbl>
    <w:p>
      <w:r>
        <w:br w:type="page"/>
      </w:r>
    </w:p>
    <w:p>
      <w:pPr>
        <w:pStyle w:val="Heading1"/>
      </w:pPr>
      <w:r>
        <w:t xml:space="preserve">12. Aprovação</w:t>
      </w:r>
    </w:p>
    <w:p>
      <w:pPr>
        <w:spacing w:after="120"/>
      </w:pPr>
      <w:r>
        <w:t xml:space="preserve">Este documento deve ser formalmente aprovado pelos seguintes responsáveis antes de servir como base para implementação: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Função</w:t>
            </w:r>
          </w:p>
        </w:tc>
        <w:tc>
          <w:tcPr>
            <w:tcW w:type="dxa" w:w="3000"/>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Nome</w:t>
            </w:r>
          </w:p>
        </w:tc>
        <w:tc>
          <w:tcPr>
            <w:tcW w:type="dxa" w:w="3026"/>
            <w:tcBorders>
              <w:top w:val="single" w:color="B0C4D8" w:sz="1"/>
              <w:left w:val="single" w:color="B0C4D8" w:sz="1"/>
              <w:bottom w:val="single" w:color="B0C4D8" w:sz="1"/>
              <w:right w:val="single" w:color="B0C4D8" w:sz="1"/>
            </w:tcBorders>
            <w:shd w:fill="D5E8F0" w:val="clear"/>
            <w:tcMar>
              <w:top w:type="dxa" w:w="60"/>
              <w:left w:type="dxa" w:w="100"/>
              <w:bottom w:type="dxa" w:w="60"/>
              <w:right w:type="dxa" w:w="100"/>
            </w:tcMar>
          </w:tcPr>
          <w:p>
            <w:r>
              <w:rPr>
                <w:rFonts w:ascii="Arial" w:cs="Arial" w:eastAsia="Arial" w:hAnsi="Arial"/>
                <w:b/>
                <w:bCs/>
                <w:sz w:val="20"/>
                <w:szCs w:val="20"/>
              </w:rPr>
              <w:t xml:space="preserve">Data/Assinatura</w:t>
            </w:r>
          </w:p>
        </w:tc>
      </w:tr>
      <w:tr>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 do Projeto</w:t>
            </w:r>
          </w:p>
        </w:tc>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c>
          <w:tcPr>
            <w:tcW w:type="dxa" w:w="30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r>
      <w:tr>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Gestor de Almoxarifado Central</w:t>
            </w:r>
          </w:p>
        </w:tc>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c>
          <w:tcPr>
            <w:tcW w:type="dxa" w:w="30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r>
      <w:tr>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Representante DTI/UFMT</w:t>
            </w:r>
          </w:p>
        </w:tc>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c>
          <w:tcPr>
            <w:tcW w:type="dxa" w:w="30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r>
      <w:tr>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Auditoria Interna</w:t>
            </w:r>
          </w:p>
        </w:tc>
        <w:tc>
          <w:tcPr>
            <w:tcW w:type="dxa" w:w="3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c>
          <w:tcPr>
            <w:tcW w:type="dxa" w:w="3026"/>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sz w:val="20"/>
                <w:szCs w:val="20"/>
              </w:rPr>
              <w:t xml:space="preserve">____/____/________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2" w:space="4"/>
      </w:pBdr>
      <w:tabs>
        <w:tab w:val="right" w:pos="9026"/>
      </w:tabs>
    </w:pPr>
    <w:r>
      <w:rPr>
        <w:rFonts w:ascii="Arial" w:cs="Arial" w:eastAsia="Arial" w:hAnsi="Arial"/>
        <w:color w:val="555555"/>
        <w:sz w:val="16"/>
        <w:szCs w:val="16"/>
      </w:rPr>
      <w:t xml:space="preserve">UFMT — SIGALM</w:t>
    </w:r>
    <w:r>
      <w:rPr>
        <w:rFonts w:ascii="Arial" w:cs="Arial" w:eastAsia="Arial" w:hAnsi="Arial"/>
        <w:color w:val="555555"/>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8" w:sz="2" w:space="4"/>
      </w:pBdr>
      <w:tabs>
        <w:tab w:val="right" w:pos="9026"/>
      </w:tabs>
    </w:pPr>
    <w:r>
      <w:rPr>
        <w:rFonts w:ascii="Arial" w:cs="Arial" w:eastAsia="Arial" w:hAnsi="Arial"/>
        <w:color w:val="555555"/>
        <w:sz w:val="16"/>
        <w:szCs w:val="16"/>
      </w:rPr>
      <w:t xml:space="preserve">DRS-SIGALM-UFMT v2.0</w:t>
    </w:r>
    <w:r>
      <w:rPr>
        <w:rFonts w:ascii="Arial" w:cs="Arial" w:eastAsia="Arial" w:hAnsi="Arial"/>
        <w:color w:val="555555"/>
        <w:sz w:val="16"/>
        <w:szCs w:val="16"/>
      </w:rPr>
      <w:t xml:space="preserve">	Reservado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2026-03-28T03:53:58.221Z</dcterms:created>
  <dcterms:modified xsi:type="dcterms:W3CDTF">2026-03-28T03:53:58.222Z</dcterms:modified>
</cp:coreProperties>
</file>

<file path=docProps/custom.xml><?xml version="1.0" encoding="utf-8"?>
<Properties xmlns="http://schemas.openxmlformats.org/officeDocument/2006/custom-properties" xmlns:vt="http://schemas.openxmlformats.org/officeDocument/2006/docPropsVTypes"/>
</file>