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29F" w:rsidRDefault="00A750DE">
      <w:pPr>
        <w:rPr>
          <w:b/>
        </w:rPr>
      </w:pPr>
      <w:r>
        <w:rPr>
          <w:b/>
        </w:rPr>
        <w:t>5.8. Análisis Financiero.</w:t>
      </w:r>
    </w:p>
    <w:p w:rsidR="00A750DE" w:rsidRDefault="00A750DE">
      <w:pPr>
        <w:rPr>
          <w:b/>
        </w:rPr>
      </w:pPr>
      <w:r>
        <w:rPr>
          <w:b/>
        </w:rPr>
        <w:t>5.8.1. Presupuesto de Establecimiento</w:t>
      </w:r>
    </w:p>
    <w:p w:rsidR="00A750DE" w:rsidRDefault="00A750DE" w:rsidP="00A750DE">
      <w:pPr>
        <w:autoSpaceDE w:val="0"/>
        <w:autoSpaceDN w:val="0"/>
        <w:adjustRightInd w:val="0"/>
        <w:spacing w:after="0" w:line="240" w:lineRule="auto"/>
        <w:rPr>
          <w:b/>
        </w:rPr>
      </w:pPr>
      <w:r>
        <w:rPr>
          <w:rFonts w:ascii="Utopia-Regular" w:hAnsi="Utopia-Regular" w:cs="Utopia-Regular"/>
          <w:sz w:val="20"/>
          <w:szCs w:val="20"/>
        </w:rPr>
        <w:t xml:space="preserve">En la Tabla 11-1 se encuentran los costos y gastos que se prevén para iniciar la operación de la empresa. Estos se encuentran </w:t>
      </w:r>
      <w:r w:rsidR="00FD691E">
        <w:rPr>
          <w:rFonts w:ascii="Utopia-Regular" w:hAnsi="Utopia-Regular" w:cs="Utopia-Regular"/>
          <w:sz w:val="20"/>
          <w:szCs w:val="20"/>
        </w:rPr>
        <w:t>divididos en Inversiones Intangibles</w:t>
      </w:r>
      <w:r>
        <w:rPr>
          <w:rFonts w:ascii="Utopia-Regular" w:hAnsi="Utopia-Regular" w:cs="Utopia-Regular"/>
          <w:sz w:val="20"/>
          <w:szCs w:val="20"/>
        </w:rPr>
        <w:t xml:space="preserve">, los cuales afectan el excedente empresarial </w:t>
      </w:r>
      <w:r w:rsidR="00AE5B60">
        <w:rPr>
          <w:rFonts w:ascii="Utopia-Regular" w:hAnsi="Utopia-Regular" w:cs="Utopia-Regular"/>
          <w:sz w:val="20"/>
          <w:szCs w:val="20"/>
        </w:rPr>
        <w:t xml:space="preserve">e inversión en activos </w:t>
      </w:r>
      <w:r w:rsidR="00B471B4">
        <w:rPr>
          <w:rFonts w:ascii="Utopia-Regular" w:hAnsi="Utopia-Regular" w:cs="Utopia-Regular"/>
          <w:sz w:val="20"/>
          <w:szCs w:val="20"/>
        </w:rPr>
        <w:t>fijos,</w:t>
      </w:r>
      <w:r>
        <w:rPr>
          <w:rFonts w:ascii="Utopia-Regular" w:hAnsi="Utopia-Regular" w:cs="Utopia-Regular"/>
          <w:sz w:val="20"/>
          <w:szCs w:val="20"/>
        </w:rPr>
        <w:t xml:space="preserve"> los cuales hacen referencia a gastos que se realizar</w:t>
      </w:r>
      <w:r w:rsidR="003C5331">
        <w:rPr>
          <w:rFonts w:ascii="Utopia-Regular" w:hAnsi="Utopia-Regular" w:cs="Utopia-Regular"/>
          <w:sz w:val="20"/>
          <w:szCs w:val="20"/>
        </w:rPr>
        <w:t>án con terceros, como lo son los costos de equipos y de arriendos.</w:t>
      </w:r>
    </w:p>
    <w:p w:rsidR="00A750DE" w:rsidRDefault="00A750DE">
      <w:pPr>
        <w:rPr>
          <w:b/>
        </w:rPr>
      </w:pPr>
    </w:p>
    <w:p w:rsidR="00FD691E" w:rsidRDefault="00B471B4" w:rsidP="005F6BA4">
      <w:pPr>
        <w:jc w:val="center"/>
        <w:rPr>
          <w:b/>
        </w:rPr>
      </w:pPr>
      <w:r w:rsidRPr="00B471B4">
        <w:drawing>
          <wp:inline distT="0" distB="0" distL="0" distR="0">
            <wp:extent cx="5400040" cy="223183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231833"/>
                    </a:xfrm>
                    <a:prstGeom prst="rect">
                      <a:avLst/>
                    </a:prstGeom>
                    <a:noFill/>
                    <a:ln>
                      <a:noFill/>
                    </a:ln>
                  </pic:spPr>
                </pic:pic>
              </a:graphicData>
            </a:graphic>
          </wp:inline>
        </w:drawing>
      </w:r>
    </w:p>
    <w:p w:rsidR="00FD691E" w:rsidRDefault="00B471B4" w:rsidP="005F6BA4">
      <w:pPr>
        <w:jc w:val="center"/>
        <w:rPr>
          <w:b/>
        </w:rPr>
      </w:pPr>
      <w:r w:rsidRPr="00B471B4">
        <w:drawing>
          <wp:inline distT="0" distB="0" distL="0" distR="0">
            <wp:extent cx="5400040" cy="2384099"/>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384099"/>
                    </a:xfrm>
                    <a:prstGeom prst="rect">
                      <a:avLst/>
                    </a:prstGeom>
                    <a:noFill/>
                    <a:ln>
                      <a:noFill/>
                    </a:ln>
                  </pic:spPr>
                </pic:pic>
              </a:graphicData>
            </a:graphic>
          </wp:inline>
        </w:drawing>
      </w:r>
    </w:p>
    <w:p w:rsidR="003C5331" w:rsidRPr="003C5331" w:rsidRDefault="003C5331">
      <w:r>
        <w:t xml:space="preserve">El costo total para el arranque de la </w:t>
      </w:r>
      <w:r w:rsidR="00FC5989">
        <w:t xml:space="preserve">Empresa </w:t>
      </w:r>
      <w:r w:rsidR="005C640E">
        <w:t>es la suma de la inversión total de los activos fijos y los intangibles.</w:t>
      </w:r>
    </w:p>
    <w:p w:rsidR="00FD691E" w:rsidRDefault="00B471B4" w:rsidP="005F6BA4">
      <w:pPr>
        <w:jc w:val="center"/>
        <w:rPr>
          <w:b/>
        </w:rPr>
      </w:pPr>
      <w:r w:rsidRPr="00B471B4">
        <w:drawing>
          <wp:inline distT="0" distB="0" distL="0" distR="0">
            <wp:extent cx="3239135" cy="7683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9135" cy="768350"/>
                    </a:xfrm>
                    <a:prstGeom prst="rect">
                      <a:avLst/>
                    </a:prstGeom>
                    <a:noFill/>
                    <a:ln>
                      <a:noFill/>
                    </a:ln>
                  </pic:spPr>
                </pic:pic>
              </a:graphicData>
            </a:graphic>
          </wp:inline>
        </w:drawing>
      </w:r>
    </w:p>
    <w:p w:rsidR="005C640E" w:rsidRDefault="005C640E" w:rsidP="005C640E">
      <w:r>
        <w:t xml:space="preserve">Para garantizar </w:t>
      </w:r>
      <w:r w:rsidR="00DB50A8">
        <w:t xml:space="preserve">el funcionamiento de le empresa y su arranque y </w:t>
      </w:r>
      <w:r w:rsidR="001329C6">
        <w:t>sostenimiento</w:t>
      </w:r>
      <w:r w:rsidR="00DB50A8">
        <w:t xml:space="preserve"> </w:t>
      </w:r>
      <w:r w:rsidR="001329C6">
        <w:t>mientras</w:t>
      </w:r>
      <w:r w:rsidR="00DB50A8">
        <w:t xml:space="preserve"> se consolida en </w:t>
      </w:r>
      <w:r w:rsidR="001329C6">
        <w:t xml:space="preserve">el mercado y genera ingresos, es de </w:t>
      </w:r>
      <w:r w:rsidR="00B471B4">
        <w:t>22’967.680</w:t>
      </w:r>
      <w:r w:rsidR="001329C6">
        <w:t xml:space="preserve">, siendo la suma de total de costo de arranque más el capital de trabajo, en este caso el capital de trabajo será el necesario </w:t>
      </w:r>
      <w:r w:rsidR="00096BDF">
        <w:t>para</w:t>
      </w:r>
      <w:r w:rsidR="001329C6">
        <w:t xml:space="preserve"> cubrir los 3 primer</w:t>
      </w:r>
      <w:r w:rsidR="00096BDF">
        <w:t xml:space="preserve">os meses del funcionamiento de la empresa, 3 meses en los que se contempla que el desarrollo del aplicativo estará casi terminado en su funcionalidad principal, </w:t>
      </w:r>
      <w:r w:rsidR="00096BDF">
        <w:lastRenderedPageBreak/>
        <w:t>lo que garantizara que de ahí en adelante solo se realicen actualizaciones y nuevos modelos que complementen y ayuden a crecer a un más su uso.</w:t>
      </w:r>
    </w:p>
    <w:p w:rsidR="001329C6" w:rsidRDefault="00F75629" w:rsidP="001329C6">
      <w:pPr>
        <w:jc w:val="center"/>
      </w:pPr>
      <w:r w:rsidRPr="00F75629">
        <w:drawing>
          <wp:inline distT="0" distB="0" distL="0" distR="0">
            <wp:extent cx="4319270" cy="963295"/>
            <wp:effectExtent l="0" t="0" r="508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9270" cy="963295"/>
                    </a:xfrm>
                    <a:prstGeom prst="rect">
                      <a:avLst/>
                    </a:prstGeom>
                    <a:noFill/>
                    <a:ln>
                      <a:noFill/>
                    </a:ln>
                  </pic:spPr>
                </pic:pic>
              </a:graphicData>
            </a:graphic>
          </wp:inline>
        </w:drawing>
      </w:r>
    </w:p>
    <w:p w:rsidR="00096BDF" w:rsidRDefault="00B471B4" w:rsidP="00096BDF">
      <w:pPr>
        <w:rPr>
          <w:b/>
        </w:rPr>
      </w:pPr>
      <w:r>
        <w:rPr>
          <w:b/>
        </w:rPr>
        <w:t>5.8.2. Análisis de Punto de Equilibrio</w:t>
      </w:r>
    </w:p>
    <w:p w:rsidR="00B471B4" w:rsidRDefault="00442CC9" w:rsidP="00096BDF">
      <w:r>
        <w:t>En la Figura ……..  se representa un consolidado de los diferentes costos de producción tanto fijos como variables con el volumen de ventas necesario para lograr el punto de equilibrio analizando 3 años, el cual se encuentra alrededor de 54’435.127, en un tiempo estimado de 140 días (4,6 meses) operación aproximadamente una vez empieza la comercialización de los productos y servicios en el 1 año.</w:t>
      </w:r>
    </w:p>
    <w:p w:rsidR="00C26183" w:rsidRDefault="00C26183" w:rsidP="00096BDF">
      <w:r>
        <w:t>También vemos la relación entre los costos fijos, el precio unitario promedio y costos variable unitario, el cual nos indicara que 1975 son las unidades de punto de equilibrio a producir.</w:t>
      </w:r>
    </w:p>
    <w:p w:rsidR="00C26183" w:rsidRDefault="00C26183" w:rsidP="00096BDF">
      <w:r>
        <w:t>Las formulas usadas para este análisis fueron las siguientes:</w:t>
      </w:r>
    </w:p>
    <w:p w:rsidR="00C26183" w:rsidRDefault="00C26183" w:rsidP="00C26183">
      <w:pPr>
        <w:pStyle w:val="Prrafodelista"/>
        <w:numPr>
          <w:ilvl w:val="0"/>
          <w:numId w:val="1"/>
        </w:numPr>
      </w:pPr>
      <w:r>
        <w:t xml:space="preserve">Punto de Equilibrio Capacidad Instalada (PECI): </w:t>
      </w:r>
      <m:oMath>
        <m:f>
          <m:fPr>
            <m:ctrlPr>
              <w:rPr>
                <w:rFonts w:ascii="Cambria Math" w:hAnsi="Cambria Math"/>
                <w:i/>
              </w:rPr>
            </m:ctrlPr>
          </m:fPr>
          <m:num>
            <m:r>
              <w:rPr>
                <w:rFonts w:ascii="Cambria Math" w:hAnsi="Cambria Math"/>
              </w:rPr>
              <m:t>Costos Fijos</m:t>
            </m:r>
          </m:num>
          <m:den>
            <m:r>
              <w:rPr>
                <w:rFonts w:ascii="Cambria Math" w:hAnsi="Cambria Math"/>
              </w:rPr>
              <m:t>(Ingresos Totales-Costos Varaibl</m:t>
            </m:r>
            <m:r>
              <w:rPr>
                <w:rFonts w:ascii="Cambria Math" w:hAnsi="Cambria Math" w:cs="Cambria Math"/>
              </w:rPr>
              <m:t>e</m:t>
            </m:r>
            <m:r>
              <w:rPr>
                <w:rFonts w:ascii="Cambria Math" w:hAnsi="Cambria Math"/>
              </w:rPr>
              <m:t>s)</m:t>
            </m:r>
          </m:den>
        </m:f>
      </m:oMath>
      <w:r>
        <w:t xml:space="preserve"> </w:t>
      </w:r>
    </w:p>
    <w:p w:rsidR="00C26183" w:rsidRPr="00A34FA5" w:rsidRDefault="00A34FA5" w:rsidP="00C26183">
      <w:pPr>
        <w:pStyle w:val="Prrafodelista"/>
        <w:numPr>
          <w:ilvl w:val="0"/>
          <w:numId w:val="1"/>
        </w:numPr>
      </w:pPr>
      <w:r>
        <w:t xml:space="preserve">Punto de Equilibrio Capacidad a Producir (PECP): </w:t>
      </w:r>
      <m:oMath>
        <m:f>
          <m:fPr>
            <m:ctrlPr>
              <w:rPr>
                <w:rFonts w:ascii="Cambria Math" w:hAnsi="Cambria Math"/>
                <w:i/>
              </w:rPr>
            </m:ctrlPr>
          </m:fPr>
          <m:num>
            <m:r>
              <w:rPr>
                <w:rFonts w:ascii="Cambria Math" w:hAnsi="Cambria Math"/>
              </w:rPr>
              <m:t>Costos Fijos</m:t>
            </m:r>
          </m:num>
          <m:den>
            <m:r>
              <w:rPr>
                <w:rFonts w:ascii="Cambria Math" w:hAnsi="Cambria Math"/>
              </w:rPr>
              <m:t>(</m:t>
            </m:r>
            <m:r>
              <w:rPr>
                <w:rFonts w:ascii="Cambria Math" w:hAnsi="Cambria Math"/>
              </w:rPr>
              <m:t>Precio Unitario-Costos Variables Unitario</m:t>
            </m:r>
            <m:r>
              <w:rPr>
                <w:rFonts w:ascii="Cambria Math" w:hAnsi="Cambria Math"/>
              </w:rPr>
              <m:t>)</m:t>
            </m:r>
          </m:den>
        </m:f>
      </m:oMath>
    </w:p>
    <w:p w:rsidR="00A34FA5" w:rsidRPr="00A34FA5" w:rsidRDefault="00A34FA5" w:rsidP="00C26183">
      <w:pPr>
        <w:pStyle w:val="Prrafodelista"/>
        <w:numPr>
          <w:ilvl w:val="0"/>
          <w:numId w:val="1"/>
        </w:numPr>
      </w:pPr>
      <w:r>
        <w:rPr>
          <w:rFonts w:eastAsiaTheme="minorEastAsia"/>
        </w:rPr>
        <w:t xml:space="preserve">Punto de Equilibrio Volumen de Ventas (PEVV): </w:t>
      </w:r>
      <m:oMath>
        <m:f>
          <m:fPr>
            <m:ctrlPr>
              <w:rPr>
                <w:rFonts w:ascii="Cambria Math" w:hAnsi="Cambria Math"/>
                <w:i/>
              </w:rPr>
            </m:ctrlPr>
          </m:fPr>
          <m:num>
            <m:r>
              <w:rPr>
                <w:rFonts w:ascii="Cambria Math" w:hAnsi="Cambria Math"/>
              </w:rPr>
              <m:t>Costos Fijos</m:t>
            </m:r>
          </m:num>
          <m:den>
            <m:r>
              <w:rPr>
                <w:rFonts w:ascii="Cambria Math" w:hAnsi="Cambria Math"/>
              </w:rPr>
              <m:t>(</m:t>
            </m:r>
            <m:r>
              <w:rPr>
                <w:rFonts w:ascii="Cambria Math" w:hAnsi="Cambria Math"/>
              </w:rPr>
              <m:t>1-</m:t>
            </m:r>
            <m:f>
              <m:fPr>
                <m:ctrlPr>
                  <w:rPr>
                    <w:rFonts w:ascii="Cambria Math" w:hAnsi="Cambria Math"/>
                    <w:i/>
                  </w:rPr>
                </m:ctrlPr>
              </m:fPr>
              <m:num>
                <m:r>
                  <w:rPr>
                    <w:rFonts w:ascii="Cambria Math" w:hAnsi="Cambria Math"/>
                  </w:rPr>
                  <m:t>Costos Varaibles</m:t>
                </m:r>
              </m:num>
              <m:den>
                <m:r>
                  <w:rPr>
                    <w:rFonts w:ascii="Cambria Math" w:hAnsi="Cambria Math"/>
                  </w:rPr>
                  <m:t>Ingresos Totales</m:t>
                </m:r>
              </m:den>
            </m:f>
            <m:r>
              <w:rPr>
                <w:rFonts w:ascii="Cambria Math" w:hAnsi="Cambria Math"/>
              </w:rPr>
              <m:t>)</m:t>
            </m:r>
          </m:den>
        </m:f>
      </m:oMath>
    </w:p>
    <w:p w:rsidR="00A34FA5" w:rsidRDefault="00A34FA5" w:rsidP="00C26183">
      <w:pPr>
        <w:pStyle w:val="Prrafodelista"/>
        <w:numPr>
          <w:ilvl w:val="0"/>
          <w:numId w:val="1"/>
        </w:numPr>
      </w:pPr>
      <w:r>
        <w:rPr>
          <w:rFonts w:eastAsiaTheme="minorEastAsia"/>
        </w:rPr>
        <w:t xml:space="preserve">Punto de Equilibrio No. De Días año (PEDA): </w:t>
      </w:r>
      <m:oMath>
        <m:f>
          <m:fPr>
            <m:ctrlPr>
              <w:rPr>
                <w:rFonts w:ascii="Cambria Math" w:hAnsi="Cambria Math"/>
                <w:i/>
              </w:rPr>
            </m:ctrlPr>
          </m:fPr>
          <m:num>
            <m:r>
              <w:rPr>
                <w:rFonts w:ascii="Cambria Math" w:hAnsi="Cambria Math"/>
              </w:rPr>
              <m:t>Punto Equilibio Volumen de Ventas</m:t>
            </m:r>
          </m:num>
          <m:den>
            <m:r>
              <w:rPr>
                <w:rFonts w:ascii="Cambria Math" w:hAnsi="Cambria Math"/>
              </w:rPr>
              <m:t>(</m:t>
            </m:r>
            <m:f>
              <m:fPr>
                <m:ctrlPr>
                  <w:rPr>
                    <w:rFonts w:ascii="Cambria Math" w:hAnsi="Cambria Math"/>
                    <w:i/>
                  </w:rPr>
                </m:ctrlPr>
              </m:fPr>
              <m:num>
                <m:r>
                  <w:rPr>
                    <w:rFonts w:ascii="Cambria Math" w:hAnsi="Cambria Math"/>
                  </w:rPr>
                  <m:t>Ingresos Totales</m:t>
                </m:r>
              </m:num>
              <m:den>
                <m:r>
                  <w:rPr>
                    <w:rFonts w:ascii="Cambria Math" w:hAnsi="Cambria Math"/>
                  </w:rPr>
                  <m:t>Numeo de Dias Laborales Año</m:t>
                </m:r>
              </m:den>
            </m:f>
            <m:r>
              <w:rPr>
                <w:rFonts w:ascii="Cambria Math" w:hAnsi="Cambria Math"/>
              </w:rPr>
              <m:t>)</m:t>
            </m:r>
          </m:den>
        </m:f>
      </m:oMath>
    </w:p>
    <w:p w:rsidR="00C26183" w:rsidRDefault="00C26183" w:rsidP="00096BDF"/>
    <w:p w:rsidR="00B471B4" w:rsidRDefault="00A34FA5" w:rsidP="00096BDF">
      <w:pPr>
        <w:rPr>
          <w:b/>
        </w:rPr>
      </w:pPr>
      <w:r w:rsidRPr="00A34FA5">
        <w:drawing>
          <wp:inline distT="0" distB="0" distL="0" distR="0">
            <wp:extent cx="5400040" cy="3295904"/>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95904"/>
                    </a:xfrm>
                    <a:prstGeom prst="rect">
                      <a:avLst/>
                    </a:prstGeom>
                    <a:noFill/>
                    <a:ln>
                      <a:noFill/>
                    </a:ln>
                  </pic:spPr>
                </pic:pic>
              </a:graphicData>
            </a:graphic>
          </wp:inline>
        </w:drawing>
      </w:r>
    </w:p>
    <w:p w:rsidR="00A34FA5" w:rsidRDefault="00A34FA5" w:rsidP="00096BDF">
      <w:pPr>
        <w:rPr>
          <w:b/>
        </w:rPr>
      </w:pPr>
    </w:p>
    <w:p w:rsidR="00A34FA5" w:rsidRDefault="00A34FA5" w:rsidP="00096BDF">
      <w:pPr>
        <w:rPr>
          <w:rFonts w:ascii="Utopia-Bold" w:hAnsi="Utopia-Bold" w:cs="Utopia-Bold"/>
          <w:b/>
          <w:bCs/>
        </w:rPr>
      </w:pPr>
      <w:r>
        <w:rPr>
          <w:b/>
        </w:rPr>
        <w:lastRenderedPageBreak/>
        <w:t xml:space="preserve">5.8.3. </w:t>
      </w:r>
      <w:r>
        <w:rPr>
          <w:rFonts w:ascii="Utopia-Bold" w:hAnsi="Utopia-Bold" w:cs="Utopia-Bold"/>
          <w:b/>
          <w:bCs/>
        </w:rPr>
        <w:t>Balance General</w:t>
      </w:r>
    </w:p>
    <w:p w:rsidR="00D779FB" w:rsidRDefault="00D779FB" w:rsidP="00D779F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En e</w:t>
      </w:r>
      <w:r w:rsidR="00974C04">
        <w:rPr>
          <w:rFonts w:ascii="Utopia-Regular" w:hAnsi="Utopia-Regular" w:cs="Utopia-Regular"/>
          <w:sz w:val="20"/>
          <w:szCs w:val="20"/>
        </w:rPr>
        <w:t>l balance general proyectado a 3</w:t>
      </w:r>
      <w:r w:rsidR="002C7F4E">
        <w:rPr>
          <w:rFonts w:ascii="Utopia-Regular" w:hAnsi="Utopia-Regular" w:cs="Utopia-Regular"/>
          <w:sz w:val="20"/>
          <w:szCs w:val="20"/>
        </w:rPr>
        <w:t xml:space="preserve"> años, mostrado en la imagen _____</w:t>
      </w:r>
      <w:r>
        <w:rPr>
          <w:rFonts w:ascii="Utopia-Regular" w:hAnsi="Utopia-Regular" w:cs="Utopia-Regular"/>
          <w:sz w:val="20"/>
          <w:szCs w:val="20"/>
        </w:rPr>
        <w:t>, se analizaron fundamentalmente</w:t>
      </w:r>
      <w:r w:rsidR="002C7F4E">
        <w:rPr>
          <w:rFonts w:ascii="Utopia-Regular" w:hAnsi="Utopia-Regular" w:cs="Utopia-Regular"/>
          <w:sz w:val="20"/>
          <w:szCs w:val="20"/>
        </w:rPr>
        <w:t xml:space="preserve"> </w:t>
      </w:r>
      <w:r>
        <w:rPr>
          <w:rFonts w:ascii="Utopia-Regular" w:hAnsi="Utopia-Regular" w:cs="Utopia-Regular"/>
          <w:sz w:val="20"/>
          <w:szCs w:val="20"/>
        </w:rPr>
        <w:t>dos indicadores: la razón de liquidez y el nivel de endeudamiento de la empresa.</w:t>
      </w:r>
    </w:p>
    <w:p w:rsidR="00D779FB" w:rsidRDefault="00D779FB" w:rsidP="00D779F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1. </w:t>
      </w:r>
      <w:r>
        <w:rPr>
          <w:rFonts w:ascii="Utopia-Bold" w:hAnsi="Utopia-Bold" w:cs="Utopia-Bold"/>
          <w:b/>
          <w:bCs/>
          <w:sz w:val="20"/>
          <w:szCs w:val="20"/>
        </w:rPr>
        <w:t xml:space="preserve">Razón de liquidez: </w:t>
      </w:r>
      <w:r>
        <w:rPr>
          <w:rFonts w:ascii="Utopia-Regular" w:hAnsi="Utopia-Regular" w:cs="Utopia-Regular"/>
          <w:sz w:val="20"/>
          <w:szCs w:val="20"/>
        </w:rPr>
        <w:t>Este indicador da a conocer la capacidad de pago de la empresa a corto</w:t>
      </w:r>
      <w:r w:rsidR="002C7F4E">
        <w:rPr>
          <w:rFonts w:ascii="Utopia-Regular" w:hAnsi="Utopia-Regular" w:cs="Utopia-Regular"/>
          <w:sz w:val="20"/>
          <w:szCs w:val="20"/>
        </w:rPr>
        <w:t xml:space="preserve"> </w:t>
      </w:r>
      <w:r>
        <w:rPr>
          <w:rFonts w:ascii="Utopia-Regular" w:hAnsi="Utopia-Regular" w:cs="Utopia-Regular"/>
          <w:sz w:val="20"/>
          <w:szCs w:val="20"/>
        </w:rPr>
        <w:t xml:space="preserve">plazo. Entre "más </w:t>
      </w:r>
      <w:r w:rsidR="00974C04">
        <w:rPr>
          <w:rFonts w:ascii="Utopia-Regular" w:hAnsi="Utopia-Regular" w:cs="Utopia-Regular"/>
          <w:sz w:val="20"/>
          <w:szCs w:val="20"/>
        </w:rPr>
        <w:t>líquido “sea</w:t>
      </w:r>
      <w:r>
        <w:rPr>
          <w:rFonts w:ascii="Utopia-Regular" w:hAnsi="Utopia-Regular" w:cs="Utopia-Regular"/>
          <w:sz w:val="20"/>
          <w:szCs w:val="20"/>
        </w:rPr>
        <w:t xml:space="preserve"> el activo corriente, </w:t>
      </w:r>
      <w:r w:rsidR="002C7F4E">
        <w:rPr>
          <w:rFonts w:ascii="Utopia-Regular" w:hAnsi="Utopia-Regular" w:cs="Utopia-Regular"/>
          <w:sz w:val="20"/>
          <w:szCs w:val="20"/>
        </w:rPr>
        <w:t>más</w:t>
      </w:r>
      <w:r>
        <w:rPr>
          <w:rFonts w:ascii="Utopia-Regular" w:hAnsi="Utopia-Regular" w:cs="Utopia-Regular"/>
          <w:sz w:val="20"/>
          <w:szCs w:val="20"/>
        </w:rPr>
        <w:t xml:space="preserve"> significativo es su resultado. El activo</w:t>
      </w:r>
      <w:r w:rsidR="002C7F4E">
        <w:rPr>
          <w:rFonts w:ascii="Utopia-Regular" w:hAnsi="Utopia-Regular" w:cs="Utopia-Regular"/>
          <w:sz w:val="20"/>
          <w:szCs w:val="20"/>
        </w:rPr>
        <w:t xml:space="preserve"> </w:t>
      </w:r>
      <w:r>
        <w:rPr>
          <w:rFonts w:ascii="Utopia-Regular" w:hAnsi="Utopia-Regular" w:cs="Utopia-Regular"/>
          <w:sz w:val="20"/>
          <w:szCs w:val="20"/>
        </w:rPr>
        <w:t>corriente de la empresa está compuesto por el disponible, que es el valor que se tiene en bancos</w:t>
      </w:r>
      <w:r w:rsidR="002C7F4E">
        <w:rPr>
          <w:rFonts w:ascii="Utopia-Regular" w:hAnsi="Utopia-Regular" w:cs="Utopia-Regular"/>
          <w:sz w:val="20"/>
          <w:szCs w:val="20"/>
        </w:rPr>
        <w:t xml:space="preserve"> </w:t>
      </w:r>
      <w:r>
        <w:rPr>
          <w:rFonts w:ascii="Utopia-Regular" w:hAnsi="Utopia-Regular" w:cs="Utopia-Regular"/>
          <w:sz w:val="20"/>
          <w:szCs w:val="20"/>
        </w:rPr>
        <w:t>o en caja general, los deudores o la cartera que tiene la empresa, y las inversiones.</w:t>
      </w:r>
    </w:p>
    <w:p w:rsidR="00D779FB" w:rsidRDefault="00D779FB" w:rsidP="00D779F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En cada año, el activo corriente supera al pasivo corriente. Realizando la razón circulante (Activo</w:t>
      </w:r>
    </w:p>
    <w:p w:rsidR="00D779FB" w:rsidRDefault="00D779FB" w:rsidP="002C7F4E">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Corriente / Pasivo Corriente), se encuentran los siguientes resultados: año 1</w:t>
      </w:r>
      <w:r w:rsidR="002C7F4E">
        <w:rPr>
          <w:rFonts w:ascii="Fourier-Math-Symbols" w:hAnsi="Fourier-Math-Symbols" w:cs="Fourier-Math-Symbols"/>
          <w:sz w:val="20"/>
          <w:szCs w:val="20"/>
        </w:rPr>
        <w:t xml:space="preserve"> -&gt; </w:t>
      </w:r>
      <w:r w:rsidR="002C7F4E" w:rsidRPr="002C7F4E">
        <w:rPr>
          <w:rFonts w:ascii="Calibri" w:eastAsia="Times New Roman" w:hAnsi="Calibri" w:cs="Times New Roman"/>
          <w:color w:val="000000"/>
          <w:lang w:eastAsia="es-ES"/>
        </w:rPr>
        <w:t>2,77</w:t>
      </w:r>
      <w:r>
        <w:rPr>
          <w:rFonts w:ascii="Utopia-Regular" w:hAnsi="Utopia-Regular" w:cs="Utopia-Regular"/>
          <w:sz w:val="20"/>
          <w:szCs w:val="20"/>
        </w:rPr>
        <w:t>, año</w:t>
      </w:r>
      <w:r w:rsidR="002C7F4E">
        <w:rPr>
          <w:rFonts w:ascii="Utopia-Regular" w:hAnsi="Utopia-Regular" w:cs="Utopia-Regular"/>
          <w:sz w:val="20"/>
          <w:szCs w:val="20"/>
        </w:rPr>
        <w:t xml:space="preserve"> </w:t>
      </w:r>
      <w:r>
        <w:rPr>
          <w:rFonts w:ascii="Utopia-Regular" w:hAnsi="Utopia-Regular" w:cs="Utopia-Regular"/>
          <w:sz w:val="20"/>
          <w:szCs w:val="20"/>
        </w:rPr>
        <w:t>2</w:t>
      </w:r>
      <w:r w:rsidR="002C7F4E">
        <w:rPr>
          <w:rFonts w:ascii="Fourier-Math-Symbols" w:hAnsi="Fourier-Math-Symbols" w:cs="Fourier-Math-Symbols"/>
          <w:sz w:val="20"/>
          <w:szCs w:val="20"/>
        </w:rPr>
        <w:t>-&gt;</w:t>
      </w:r>
      <w:r>
        <w:rPr>
          <w:rFonts w:ascii="Fourier-Math-Symbols" w:hAnsi="Fourier-Math-Symbols" w:cs="Fourier-Math-Symbols"/>
          <w:sz w:val="20"/>
          <w:szCs w:val="20"/>
        </w:rPr>
        <w:t xml:space="preserve"> </w:t>
      </w:r>
      <w:r w:rsidR="002C7F4E" w:rsidRPr="002C7F4E">
        <w:rPr>
          <w:rFonts w:ascii="Calibri" w:eastAsia="Times New Roman" w:hAnsi="Calibri" w:cs="Times New Roman"/>
          <w:color w:val="000000"/>
          <w:lang w:eastAsia="es-ES"/>
        </w:rPr>
        <w:t>2,84</w:t>
      </w:r>
      <w:r>
        <w:rPr>
          <w:rFonts w:ascii="Utopia-Regular" w:hAnsi="Utopia-Regular" w:cs="Utopia-Regular"/>
          <w:sz w:val="20"/>
          <w:szCs w:val="20"/>
        </w:rPr>
        <w:t>, año 3</w:t>
      </w:r>
      <w:r w:rsidR="002C7F4E">
        <w:rPr>
          <w:rFonts w:ascii="Fourier-Math-Symbols" w:hAnsi="Fourier-Math-Symbols" w:cs="Fourier-Math-Symbols"/>
          <w:sz w:val="20"/>
          <w:szCs w:val="20"/>
        </w:rPr>
        <w:t xml:space="preserve"> -&gt; </w:t>
      </w:r>
      <w:r w:rsidR="002C7F4E" w:rsidRPr="002C7F4E">
        <w:rPr>
          <w:rFonts w:ascii="Calibri" w:eastAsia="Times New Roman" w:hAnsi="Calibri" w:cs="Times New Roman"/>
          <w:color w:val="000000"/>
          <w:lang w:eastAsia="es-ES"/>
        </w:rPr>
        <w:t>2,68</w:t>
      </w:r>
      <w:r w:rsidR="002C7F4E">
        <w:rPr>
          <w:rFonts w:ascii="Utopia-Regular" w:hAnsi="Utopia-Regular" w:cs="Utopia-Regular"/>
          <w:sz w:val="20"/>
          <w:szCs w:val="20"/>
        </w:rPr>
        <w:t>.</w:t>
      </w:r>
    </w:p>
    <w:p w:rsidR="002C7F4E" w:rsidRDefault="00D779FB" w:rsidP="002C7F4E">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2. </w:t>
      </w:r>
      <w:r>
        <w:rPr>
          <w:rFonts w:ascii="Utopia-Bold" w:hAnsi="Utopia-Bold" w:cs="Utopia-Bold"/>
          <w:b/>
          <w:bCs/>
          <w:sz w:val="20"/>
          <w:szCs w:val="20"/>
        </w:rPr>
        <w:t xml:space="preserve">Nivel de endeudamiento: </w:t>
      </w:r>
      <w:r>
        <w:rPr>
          <w:rFonts w:ascii="Utopia-Regular" w:hAnsi="Utopia-Regular" w:cs="Utopia-Regular"/>
          <w:sz w:val="20"/>
          <w:szCs w:val="20"/>
        </w:rPr>
        <w:t>Teniendo en cuenta la discriminación del pasivo total, la empresa</w:t>
      </w:r>
      <w:r w:rsidR="002C7F4E">
        <w:rPr>
          <w:rFonts w:ascii="Utopia-Regular" w:hAnsi="Utopia-Regular" w:cs="Utopia-Regular"/>
          <w:sz w:val="20"/>
          <w:szCs w:val="20"/>
        </w:rPr>
        <w:t xml:space="preserve"> puede tener un endeudamiento alto. De esta forma, la empresa no tendrá las dificultades que ha de suponer un indicador alto.</w:t>
      </w:r>
    </w:p>
    <w:p w:rsidR="00D779FB" w:rsidRDefault="002C7F4E" w:rsidP="002C7F4E">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Para el primer año, </w:t>
      </w:r>
      <w:r w:rsidR="001350AE">
        <w:rPr>
          <w:rFonts w:ascii="Utopia-Regular" w:hAnsi="Utopia-Regular" w:cs="Utopia-Regular"/>
          <w:sz w:val="20"/>
          <w:szCs w:val="20"/>
        </w:rPr>
        <w:t xml:space="preserve">se </w:t>
      </w:r>
      <w:r w:rsidR="002A0324">
        <w:rPr>
          <w:rFonts w:ascii="Utopia-Regular" w:hAnsi="Utopia-Regular" w:cs="Utopia-Regular"/>
          <w:sz w:val="20"/>
          <w:szCs w:val="20"/>
        </w:rPr>
        <w:t>buscará</w:t>
      </w:r>
      <w:r>
        <w:rPr>
          <w:rFonts w:ascii="Utopia-Regular" w:hAnsi="Utopia-Regular" w:cs="Utopia-Regular"/>
          <w:sz w:val="20"/>
          <w:szCs w:val="20"/>
        </w:rPr>
        <w:t xml:space="preserve"> una fuente de financiamiento que garantice el </w:t>
      </w:r>
      <w:r w:rsidR="001350AE">
        <w:rPr>
          <w:rFonts w:ascii="Utopia-Regular" w:hAnsi="Utopia-Regular" w:cs="Utopia-Regular"/>
          <w:sz w:val="20"/>
          <w:szCs w:val="20"/>
        </w:rPr>
        <w:t>inicio</w:t>
      </w:r>
      <w:r>
        <w:rPr>
          <w:rFonts w:ascii="Utopia-Regular" w:hAnsi="Utopia-Regular" w:cs="Utopia-Regular"/>
          <w:sz w:val="20"/>
          <w:szCs w:val="20"/>
        </w:rPr>
        <w:t xml:space="preserve"> de la empresa, ya cuando </w:t>
      </w:r>
      <w:r w:rsidR="001350AE">
        <w:rPr>
          <w:rFonts w:ascii="Utopia-Regular" w:hAnsi="Utopia-Regular" w:cs="Utopia-Regular"/>
          <w:sz w:val="20"/>
          <w:szCs w:val="20"/>
        </w:rPr>
        <w:t>se inicie con la comercialización la empresa se volverá sólida.</w:t>
      </w:r>
    </w:p>
    <w:p w:rsidR="001350AE" w:rsidRDefault="001350AE" w:rsidP="002C7F4E">
      <w:pPr>
        <w:autoSpaceDE w:val="0"/>
        <w:autoSpaceDN w:val="0"/>
        <w:adjustRightInd w:val="0"/>
        <w:spacing w:after="0" w:line="240" w:lineRule="auto"/>
      </w:pPr>
    </w:p>
    <w:p w:rsidR="00A34FA5" w:rsidRDefault="00D779FB" w:rsidP="00096BDF">
      <w:pPr>
        <w:rPr>
          <w:b/>
        </w:rPr>
      </w:pPr>
      <w:r w:rsidRPr="00D779FB">
        <w:drawing>
          <wp:inline distT="0" distB="0" distL="0" distR="0">
            <wp:extent cx="5400040" cy="1781875"/>
            <wp:effectExtent l="0" t="0" r="0" b="889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1781875"/>
                    </a:xfrm>
                    <a:prstGeom prst="rect">
                      <a:avLst/>
                    </a:prstGeom>
                    <a:noFill/>
                    <a:ln>
                      <a:noFill/>
                    </a:ln>
                  </pic:spPr>
                </pic:pic>
              </a:graphicData>
            </a:graphic>
          </wp:inline>
        </w:drawing>
      </w:r>
    </w:p>
    <w:p w:rsidR="00D779FB" w:rsidRDefault="00D779FB" w:rsidP="00096BDF">
      <w:pPr>
        <w:rPr>
          <w:b/>
        </w:rPr>
      </w:pPr>
      <w:r w:rsidRPr="00D779FB">
        <w:drawing>
          <wp:inline distT="0" distB="0" distL="0" distR="0">
            <wp:extent cx="5400040" cy="296598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965980"/>
                    </a:xfrm>
                    <a:prstGeom prst="rect">
                      <a:avLst/>
                    </a:prstGeom>
                    <a:noFill/>
                    <a:ln>
                      <a:noFill/>
                    </a:ln>
                  </pic:spPr>
                </pic:pic>
              </a:graphicData>
            </a:graphic>
          </wp:inline>
        </w:drawing>
      </w:r>
    </w:p>
    <w:p w:rsidR="001350AE" w:rsidRDefault="001350AE" w:rsidP="00096BDF">
      <w:pPr>
        <w:rPr>
          <w:b/>
        </w:rPr>
      </w:pPr>
      <w:r>
        <w:rPr>
          <w:b/>
        </w:rPr>
        <w:t>5.8.4. Flujo de Caja</w:t>
      </w:r>
    </w:p>
    <w:p w:rsidR="002A0324" w:rsidRDefault="002A0324" w:rsidP="002A0324">
      <w:pPr>
        <w:autoSpaceDE w:val="0"/>
        <w:autoSpaceDN w:val="0"/>
        <w:adjustRightInd w:val="0"/>
        <w:spacing w:after="0" w:line="240" w:lineRule="auto"/>
        <w:rPr>
          <w:rFonts w:ascii="Utopia-Bold" w:hAnsi="Utopia-Bold" w:cs="Utopia-Bold"/>
          <w:b/>
          <w:bCs/>
          <w:sz w:val="20"/>
          <w:szCs w:val="20"/>
        </w:rPr>
      </w:pPr>
      <w:r>
        <w:rPr>
          <w:rFonts w:ascii="Utopia-Bold" w:hAnsi="Utopia-Bold" w:cs="Utopia-Bold"/>
          <w:b/>
          <w:bCs/>
          <w:sz w:val="20"/>
          <w:szCs w:val="20"/>
        </w:rPr>
        <w:t>5.8.4.1. Flujo de Efectivo de Inversión para el primer semestre</w:t>
      </w:r>
    </w:p>
    <w:p w:rsidR="002A0324" w:rsidRDefault="002A0324" w:rsidP="002A032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En la imagen _____  se muestra el flujo de efectivo de inversiones para el primer semestre. Este inicia</w:t>
      </w:r>
    </w:p>
    <w:p w:rsidR="002A0324" w:rsidRDefault="002A0324" w:rsidP="002A032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con un valor de COP$22’967.679,7 el cual parte del plan de financiación que se verá posteriormente.</w:t>
      </w:r>
    </w:p>
    <w:p w:rsidR="001350AE" w:rsidRDefault="002A0324" w:rsidP="00A45D3A">
      <w:pPr>
        <w:autoSpaceDE w:val="0"/>
        <w:autoSpaceDN w:val="0"/>
        <w:adjustRightInd w:val="0"/>
        <w:spacing w:after="0" w:line="240" w:lineRule="auto"/>
        <w:rPr>
          <w:b/>
        </w:rPr>
      </w:pPr>
      <w:r>
        <w:rPr>
          <w:rFonts w:ascii="Utopia-Regular" w:hAnsi="Utopia-Regular" w:cs="Utopia-Regular"/>
          <w:sz w:val="20"/>
          <w:szCs w:val="20"/>
        </w:rPr>
        <w:t>Se debe recordar que los primeros meses estarán enfocados en el desarrollo de los productos y servicios, por</w:t>
      </w:r>
      <w:r w:rsidR="00A45D3A">
        <w:rPr>
          <w:rFonts w:ascii="Utopia-Regular" w:hAnsi="Utopia-Regular" w:cs="Utopia-Regular"/>
          <w:sz w:val="20"/>
          <w:szCs w:val="20"/>
        </w:rPr>
        <w:t xml:space="preserve"> </w:t>
      </w:r>
      <w:r>
        <w:rPr>
          <w:rFonts w:ascii="Utopia-Regular" w:hAnsi="Utopia-Regular" w:cs="Utopia-Regular"/>
          <w:sz w:val="20"/>
          <w:szCs w:val="20"/>
        </w:rPr>
        <w:t xml:space="preserve">lo que no se contemplan ingresos por ventas en este periodo sean bajos. Adicionalmente, </w:t>
      </w:r>
      <w:r>
        <w:rPr>
          <w:rFonts w:ascii="Utopia-Regular" w:hAnsi="Utopia-Regular" w:cs="Utopia-Regular"/>
          <w:sz w:val="20"/>
          <w:szCs w:val="20"/>
        </w:rPr>
        <w:lastRenderedPageBreak/>
        <w:t xml:space="preserve">se debe cancelar la nómina de los empleados, por lo cual como se vio en inversión total, se debe garantizar ese capital de trabajo. </w:t>
      </w:r>
    </w:p>
    <w:p w:rsidR="001350AE" w:rsidRDefault="001350AE" w:rsidP="00096BDF">
      <w:pPr>
        <w:rPr>
          <w:b/>
        </w:rPr>
      </w:pPr>
      <w:r w:rsidRPr="001350AE">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605081" cy="6034138"/>
            <wp:effectExtent l="0" t="0" r="5715" b="508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05081" cy="6034138"/>
                    </a:xfrm>
                    <a:prstGeom prst="rect">
                      <a:avLst/>
                    </a:prstGeom>
                    <a:noFill/>
                    <a:ln>
                      <a:noFill/>
                    </a:ln>
                  </pic:spPr>
                </pic:pic>
              </a:graphicData>
            </a:graphic>
          </wp:anchor>
        </w:drawing>
      </w:r>
    </w:p>
    <w:p w:rsidR="001350AE" w:rsidRDefault="001350AE" w:rsidP="00096BDF">
      <w:pPr>
        <w:rPr>
          <w:b/>
        </w:rPr>
      </w:pPr>
      <w:r w:rsidRPr="001350AE">
        <w:lastRenderedPageBreak/>
        <w:drawing>
          <wp:inline distT="0" distB="0" distL="0" distR="0">
            <wp:extent cx="5942133" cy="6144768"/>
            <wp:effectExtent l="0" t="0" r="1905" b="889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7587" cy="6150408"/>
                    </a:xfrm>
                    <a:prstGeom prst="rect">
                      <a:avLst/>
                    </a:prstGeom>
                    <a:noFill/>
                    <a:ln>
                      <a:noFill/>
                    </a:ln>
                  </pic:spPr>
                </pic:pic>
              </a:graphicData>
            </a:graphic>
          </wp:inline>
        </w:drawing>
      </w:r>
    </w:p>
    <w:p w:rsidR="00A45D3A" w:rsidRDefault="00A45D3A" w:rsidP="00096BDF">
      <w:pPr>
        <w:rPr>
          <w:b/>
        </w:rPr>
      </w:pPr>
    </w:p>
    <w:p w:rsidR="00A45D3A" w:rsidRDefault="00A45D3A" w:rsidP="00A45D3A">
      <w:pPr>
        <w:autoSpaceDE w:val="0"/>
        <w:autoSpaceDN w:val="0"/>
        <w:adjustRightInd w:val="0"/>
        <w:spacing w:after="0" w:line="240" w:lineRule="auto"/>
        <w:rPr>
          <w:rFonts w:ascii="Utopia-Bold" w:hAnsi="Utopia-Bold" w:cs="Utopia-Bold"/>
          <w:b/>
          <w:bCs/>
          <w:sz w:val="20"/>
          <w:szCs w:val="20"/>
        </w:rPr>
      </w:pPr>
      <w:r>
        <w:rPr>
          <w:rFonts w:ascii="Utopia-Bold" w:hAnsi="Utopia-Bold" w:cs="Utopia-Bold"/>
          <w:b/>
          <w:bCs/>
          <w:sz w:val="20"/>
          <w:szCs w:val="20"/>
        </w:rPr>
        <w:t>5.8.4.2. Flujo de caja (Proyección a 3 años)</w:t>
      </w:r>
    </w:p>
    <w:p w:rsidR="00A45D3A" w:rsidRDefault="00A45D3A" w:rsidP="00A45D3A">
      <w:pPr>
        <w:autoSpaceDE w:val="0"/>
        <w:autoSpaceDN w:val="0"/>
        <w:adjustRightInd w:val="0"/>
        <w:spacing w:after="0" w:line="240" w:lineRule="auto"/>
        <w:rPr>
          <w:b/>
        </w:rPr>
      </w:pPr>
      <w:r>
        <w:rPr>
          <w:rFonts w:ascii="Utopia-Regular" w:hAnsi="Utopia-Regular" w:cs="Utopia-Regular"/>
          <w:sz w:val="20"/>
          <w:szCs w:val="20"/>
        </w:rPr>
        <w:t>En la proyección a tres  años del flujo de caja, imagen ____, se puede observar que durante los 3 años hay ingresos . A partir del segundo año se refleja el impuesto de renta que se debe cancelar de acuerdo a la utilidad del año anterior, también se evidencia un incremento tanto en los ingresos como en los egresos. A pesar de esto, siempre se cuenta con un respaldo por parte de los ingresos para cancelar los egresos, ya que siempre es mayor el ingreso que el egreso, de lo contrario habría perdidas, las cuales se tendrían que mitigar si a futuro la empresa puede ser rentable.</w:t>
      </w:r>
    </w:p>
    <w:p w:rsidR="001350AE" w:rsidRDefault="001350AE" w:rsidP="00096BDF">
      <w:pPr>
        <w:rPr>
          <w:b/>
        </w:rPr>
      </w:pPr>
    </w:p>
    <w:p w:rsidR="001350AE" w:rsidRDefault="002A0324" w:rsidP="00096BDF">
      <w:pPr>
        <w:rPr>
          <w:b/>
        </w:rPr>
      </w:pPr>
      <w:r w:rsidRPr="002A0324">
        <w:lastRenderedPageBreak/>
        <w:drawing>
          <wp:inline distT="0" distB="0" distL="0" distR="0">
            <wp:extent cx="5400040" cy="7328626"/>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7328626"/>
                    </a:xfrm>
                    <a:prstGeom prst="rect">
                      <a:avLst/>
                    </a:prstGeom>
                    <a:noFill/>
                    <a:ln>
                      <a:noFill/>
                    </a:ln>
                  </pic:spPr>
                </pic:pic>
              </a:graphicData>
            </a:graphic>
          </wp:inline>
        </w:drawing>
      </w:r>
    </w:p>
    <w:p w:rsidR="00A45D3A" w:rsidRDefault="00A45D3A" w:rsidP="00096BDF">
      <w:pPr>
        <w:rPr>
          <w:b/>
        </w:rPr>
      </w:pPr>
    </w:p>
    <w:p w:rsidR="00A45D3A" w:rsidRDefault="00A45D3A" w:rsidP="00A45D3A">
      <w:pPr>
        <w:autoSpaceDE w:val="0"/>
        <w:autoSpaceDN w:val="0"/>
        <w:adjustRightInd w:val="0"/>
        <w:spacing w:after="0" w:line="240" w:lineRule="auto"/>
        <w:rPr>
          <w:rFonts w:ascii="Utopia-Bold" w:hAnsi="Utopia-Bold" w:cs="Utopia-Bold"/>
          <w:b/>
          <w:bCs/>
        </w:rPr>
      </w:pPr>
      <w:r>
        <w:rPr>
          <w:rFonts w:ascii="Utopia-Bold" w:hAnsi="Utopia-Bold" w:cs="Utopia-Bold"/>
          <w:b/>
          <w:bCs/>
        </w:rPr>
        <w:t>5.8.5. Indicadores Financieros</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En la </w:t>
      </w:r>
      <w:r w:rsidR="005B103C">
        <w:rPr>
          <w:rFonts w:ascii="Utopia-Regular" w:hAnsi="Utopia-Regular" w:cs="Utopia-Regular"/>
          <w:sz w:val="20"/>
          <w:szCs w:val="20"/>
        </w:rPr>
        <w:t>imagen ____</w:t>
      </w:r>
      <w:r>
        <w:rPr>
          <w:rFonts w:ascii="Utopia-Regular" w:hAnsi="Utopia-Regular" w:cs="Utopia-Regular"/>
          <w:sz w:val="20"/>
          <w:szCs w:val="20"/>
        </w:rPr>
        <w:t xml:space="preserve"> se muestran los indicadores financieros (Valor Actual Neto y Tasa Interna de Retorno)</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que permiten evaluar la rentabilidad del proyecto. Adicionalmente, en la Figura </w:t>
      </w:r>
      <w:r w:rsidR="005B103C">
        <w:rPr>
          <w:rFonts w:ascii="Utopia-Regular" w:hAnsi="Utopia-Regular" w:cs="Utopia-Regular"/>
          <w:sz w:val="20"/>
          <w:szCs w:val="20"/>
        </w:rPr>
        <w:t>___</w:t>
      </w:r>
      <w:r>
        <w:rPr>
          <w:rFonts w:ascii="Utopia-Regular" w:hAnsi="Utopia-Regular" w:cs="Utopia-Regular"/>
          <w:sz w:val="20"/>
          <w:szCs w:val="20"/>
        </w:rPr>
        <w:t xml:space="preserve"> se muestra</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el comportamiento del Valor Actual Neto para diferentes valores de Tasa Interna de Oportunidad</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con una relación inversamente proporcional.</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1. </w:t>
      </w:r>
      <w:r>
        <w:rPr>
          <w:rFonts w:ascii="Utopia-Bold" w:hAnsi="Utopia-Bold" w:cs="Utopia-Bold"/>
          <w:b/>
          <w:bCs/>
          <w:sz w:val="20"/>
          <w:szCs w:val="20"/>
        </w:rPr>
        <w:t xml:space="preserve">Valor actual neto: </w:t>
      </w:r>
      <w:r>
        <w:rPr>
          <w:rFonts w:ascii="Utopia-Regular" w:hAnsi="Utopia-Regular" w:cs="Utopia-Regular"/>
          <w:sz w:val="20"/>
          <w:szCs w:val="20"/>
        </w:rPr>
        <w:t>El VAN o también conocido como VPN (Valor presente neto) es un indicador</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financiero que</w:t>
      </w:r>
      <w:r w:rsidR="005B103C">
        <w:rPr>
          <w:rFonts w:ascii="Utopia-Regular" w:hAnsi="Utopia-Regular" w:cs="Utopia-Regular"/>
          <w:sz w:val="20"/>
          <w:szCs w:val="20"/>
        </w:rPr>
        <w:t xml:space="preserve"> </w:t>
      </w:r>
      <w:r>
        <w:rPr>
          <w:rFonts w:ascii="Utopia-Regular" w:hAnsi="Utopia-Regular" w:cs="Utopia-Regular"/>
          <w:sz w:val="20"/>
          <w:szCs w:val="20"/>
        </w:rPr>
        <w:t>mide los flujos de futuros ingresos y egresos. El valor para este proyecto de</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lastRenderedPageBreak/>
        <w:t>empresa es de COP $</w:t>
      </w:r>
      <w:r w:rsidR="005B103C">
        <w:rPr>
          <w:rFonts w:ascii="Utopia-Regular" w:hAnsi="Utopia-Regular" w:cs="Utopia-Regular"/>
          <w:sz w:val="20"/>
          <w:szCs w:val="20"/>
        </w:rPr>
        <w:t>34’081597,72</w:t>
      </w:r>
      <w:r>
        <w:rPr>
          <w:rFonts w:ascii="Utopia-Regular" w:hAnsi="Utopia-Regular" w:cs="Utopia-Regular"/>
          <w:sz w:val="20"/>
          <w:szCs w:val="20"/>
        </w:rPr>
        <w:t xml:space="preserve"> lo que indica que el proyecto es viable. Para determinarlo se</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parte del flujo de ingresos de los próximos </w:t>
      </w:r>
      <w:r w:rsidR="005B103C">
        <w:rPr>
          <w:rFonts w:ascii="Utopia-Regular" w:hAnsi="Utopia-Regular" w:cs="Utopia-Regular"/>
          <w:sz w:val="20"/>
          <w:szCs w:val="20"/>
        </w:rPr>
        <w:t>tres</w:t>
      </w:r>
      <w:r>
        <w:rPr>
          <w:rFonts w:ascii="Utopia-Regular" w:hAnsi="Utopia-Regular" w:cs="Utopia-Regular"/>
          <w:sz w:val="20"/>
          <w:szCs w:val="20"/>
        </w:rPr>
        <w:t xml:space="preserve"> años, el cual parte de la proyección que se</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tiene anteriormente.</w:t>
      </w:r>
    </w:p>
    <w:p w:rsidR="005B103C" w:rsidRDefault="005B103C"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Con el flujo de ingresos y flujo de egresos se calcula el flujo de </w:t>
      </w:r>
      <w:r w:rsidR="00661D14">
        <w:rPr>
          <w:rFonts w:ascii="Utopia-Regular" w:hAnsi="Utopia-Regular" w:cs="Utopia-Regular"/>
          <w:sz w:val="20"/>
          <w:szCs w:val="20"/>
        </w:rPr>
        <w:t xml:space="preserve">caja </w:t>
      </w:r>
      <w:r>
        <w:rPr>
          <w:rFonts w:ascii="Utopia-Regular" w:hAnsi="Utopia-Regular" w:cs="Utopia-Regular"/>
          <w:sz w:val="20"/>
          <w:szCs w:val="20"/>
        </w:rPr>
        <w:t>neto.</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2. </w:t>
      </w:r>
      <w:r>
        <w:rPr>
          <w:rFonts w:ascii="Utopia-Bold" w:hAnsi="Utopia-Bold" w:cs="Utopia-Bold"/>
          <w:b/>
          <w:bCs/>
          <w:sz w:val="20"/>
          <w:szCs w:val="20"/>
        </w:rPr>
        <w:t xml:space="preserve">Tasa interna de retorno: </w:t>
      </w:r>
      <w:r>
        <w:rPr>
          <w:rFonts w:ascii="Utopia-Regular" w:hAnsi="Utopia-Regular" w:cs="Utopia-Regular"/>
          <w:sz w:val="20"/>
          <w:szCs w:val="20"/>
        </w:rPr>
        <w:t>La tasa i</w:t>
      </w:r>
      <w:r w:rsidR="005B103C">
        <w:rPr>
          <w:rFonts w:ascii="Utopia-Regular" w:hAnsi="Utopia-Regular" w:cs="Utopia-Regular"/>
          <w:sz w:val="20"/>
          <w:szCs w:val="20"/>
        </w:rPr>
        <w:t>nterna de retorno TIR es del 84,02</w:t>
      </w:r>
      <w:r>
        <w:rPr>
          <w:rFonts w:ascii="Utopia-Regular" w:hAnsi="Utopia-Regular" w:cs="Utopia-Regular"/>
          <w:sz w:val="20"/>
          <w:szCs w:val="20"/>
        </w:rPr>
        <w:t>%. Esta indica que se tiene</w:t>
      </w:r>
    </w:p>
    <w:p w:rsidR="00A45D3A" w:rsidRDefault="00A45D3A" w:rsidP="00A45D3A">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una gran rentabilidad. Para su cálculo se tuvo en cuenta además del flujo de efectivo neto una</w:t>
      </w:r>
    </w:p>
    <w:p w:rsidR="00A45D3A" w:rsidRDefault="00A45D3A" w:rsidP="00A45D3A">
      <w:pPr>
        <w:rPr>
          <w:rFonts w:ascii="Utopia-Regular" w:hAnsi="Utopia-Regular" w:cs="Utopia-Regular"/>
          <w:sz w:val="20"/>
          <w:szCs w:val="20"/>
        </w:rPr>
      </w:pPr>
      <w:r>
        <w:rPr>
          <w:rFonts w:ascii="Utopia-Regular" w:hAnsi="Utopia-Regular" w:cs="Utopia-Regular"/>
          <w:sz w:val="20"/>
          <w:szCs w:val="20"/>
        </w:rPr>
        <w:t>inversión inicial de COP$</w:t>
      </w:r>
      <w:r w:rsidR="005B103C">
        <w:rPr>
          <w:rFonts w:ascii="Utopia-Regular" w:hAnsi="Utopia-Regular" w:cs="Utopia-Regular"/>
          <w:sz w:val="20"/>
          <w:szCs w:val="20"/>
        </w:rPr>
        <w:t xml:space="preserve">22’967.679,68 </w:t>
      </w:r>
      <w:r>
        <w:rPr>
          <w:rFonts w:ascii="Utopia-Regular" w:hAnsi="Utopia-Regular" w:cs="Utopia-Regular"/>
          <w:sz w:val="20"/>
          <w:szCs w:val="20"/>
        </w:rPr>
        <w:t>la cual se encuentra en el plan de inversión.</w:t>
      </w:r>
    </w:p>
    <w:p w:rsidR="00A45D3A" w:rsidRDefault="00661D14" w:rsidP="005B103C">
      <w:pPr>
        <w:jc w:val="center"/>
        <w:rPr>
          <w:b/>
        </w:rPr>
      </w:pPr>
      <w:r w:rsidRPr="00661D14">
        <w:drawing>
          <wp:inline distT="0" distB="0" distL="0" distR="0">
            <wp:extent cx="5400040" cy="965026"/>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965026"/>
                    </a:xfrm>
                    <a:prstGeom prst="rect">
                      <a:avLst/>
                    </a:prstGeom>
                    <a:noFill/>
                    <a:ln>
                      <a:noFill/>
                    </a:ln>
                  </pic:spPr>
                </pic:pic>
              </a:graphicData>
            </a:graphic>
          </wp:inline>
        </w:drawing>
      </w:r>
    </w:p>
    <w:p w:rsidR="005B103C" w:rsidRDefault="005B103C" w:rsidP="005B103C">
      <w:pPr>
        <w:jc w:val="center"/>
        <w:rPr>
          <w:b/>
        </w:rPr>
      </w:pPr>
      <w:r w:rsidRPr="005B103C">
        <w:drawing>
          <wp:inline distT="0" distB="0" distL="0" distR="0">
            <wp:extent cx="5334000" cy="5810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581025"/>
                    </a:xfrm>
                    <a:prstGeom prst="rect">
                      <a:avLst/>
                    </a:prstGeom>
                    <a:noFill/>
                    <a:ln>
                      <a:noFill/>
                    </a:ln>
                  </pic:spPr>
                </pic:pic>
              </a:graphicData>
            </a:graphic>
          </wp:inline>
        </w:drawing>
      </w:r>
    </w:p>
    <w:p w:rsidR="005B103C" w:rsidRDefault="005B103C" w:rsidP="005B103C">
      <w:pPr>
        <w:jc w:val="center"/>
        <w:rPr>
          <w:b/>
        </w:rPr>
      </w:pPr>
      <w:r w:rsidRPr="005B103C">
        <w:drawing>
          <wp:inline distT="0" distB="0" distL="0" distR="0">
            <wp:extent cx="3162300" cy="3905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390525"/>
                    </a:xfrm>
                    <a:prstGeom prst="rect">
                      <a:avLst/>
                    </a:prstGeom>
                    <a:noFill/>
                    <a:ln>
                      <a:noFill/>
                    </a:ln>
                  </pic:spPr>
                </pic:pic>
              </a:graphicData>
            </a:graphic>
          </wp:inline>
        </w:drawing>
      </w:r>
    </w:p>
    <w:p w:rsidR="00661D14" w:rsidRDefault="00661D14" w:rsidP="00661D14">
      <w:pPr>
        <w:autoSpaceDE w:val="0"/>
        <w:autoSpaceDN w:val="0"/>
        <w:adjustRightInd w:val="0"/>
        <w:spacing w:after="0" w:line="240" w:lineRule="auto"/>
        <w:rPr>
          <w:rFonts w:ascii="Utopia-Bold" w:hAnsi="Utopia-Bold" w:cs="Utopia-Bold"/>
          <w:b/>
          <w:bCs/>
        </w:rPr>
      </w:pPr>
      <w:r>
        <w:rPr>
          <w:rFonts w:ascii="Utopia-Bold" w:hAnsi="Utopia-Bold" w:cs="Utopia-Bold"/>
          <w:b/>
          <w:bCs/>
        </w:rPr>
        <w:t>5.8.6 Plan de Financiación</w:t>
      </w:r>
    </w:p>
    <w:p w:rsidR="00661D14" w:rsidRDefault="00661D14" w:rsidP="00661D1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El plan de financiación hace referencia a la inversión inicial que se requiere para llevar acabo el</w:t>
      </w:r>
    </w:p>
    <w:p w:rsidR="00661D14" w:rsidRDefault="00661D14" w:rsidP="00661D1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proyecto de la empresa. Como se observó en el flujo de caja del primer año, con esta inversión la</w:t>
      </w:r>
    </w:p>
    <w:p w:rsidR="00661D14" w:rsidRDefault="00661D14" w:rsidP="00661D1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empresa se financiará en su primer año en el cual se realizará el desarrollo de los productos y/o</w:t>
      </w:r>
    </w:p>
    <w:p w:rsidR="005B103C" w:rsidRDefault="00661D14" w:rsidP="00661D1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servicios. La imagen :____muestra el plan de financiación establecido, en este  plan de financiación se tiene un aporte correspondiente a $16’077.375,78  correspondiente al 70% de la inversión total, el cual vendrá de capital ángel o inversionistas; el otro aporte de 6’890.303,90 correspondiente al 30% de la inversión total vendrá de un préstamo bancario.</w:t>
      </w:r>
    </w:p>
    <w:p w:rsidR="00661D14" w:rsidRDefault="00661D14" w:rsidP="00661D14">
      <w:pPr>
        <w:autoSpaceDE w:val="0"/>
        <w:autoSpaceDN w:val="0"/>
        <w:adjustRightInd w:val="0"/>
        <w:spacing w:after="0" w:line="240" w:lineRule="auto"/>
        <w:rPr>
          <w:rFonts w:ascii="Utopia-Regular" w:hAnsi="Utopia-Regular" w:cs="Utopia-Regular"/>
          <w:sz w:val="20"/>
          <w:szCs w:val="20"/>
        </w:rPr>
      </w:pPr>
    </w:p>
    <w:p w:rsidR="00661D14" w:rsidRDefault="00661D14" w:rsidP="00661D14">
      <w:pPr>
        <w:autoSpaceDE w:val="0"/>
        <w:autoSpaceDN w:val="0"/>
        <w:adjustRightInd w:val="0"/>
        <w:spacing w:after="0" w:line="240" w:lineRule="auto"/>
        <w:jc w:val="center"/>
        <w:rPr>
          <w:rFonts w:ascii="Utopia-Regular" w:hAnsi="Utopia-Regular" w:cs="Utopia-Regular"/>
          <w:sz w:val="20"/>
          <w:szCs w:val="20"/>
        </w:rPr>
      </w:pPr>
      <w:r w:rsidRPr="00661D14">
        <w:drawing>
          <wp:inline distT="0" distB="0" distL="0" distR="0">
            <wp:extent cx="3524250" cy="96202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962025"/>
                    </a:xfrm>
                    <a:prstGeom prst="rect">
                      <a:avLst/>
                    </a:prstGeom>
                    <a:noFill/>
                    <a:ln>
                      <a:noFill/>
                    </a:ln>
                  </pic:spPr>
                </pic:pic>
              </a:graphicData>
            </a:graphic>
          </wp:inline>
        </w:drawing>
      </w:r>
    </w:p>
    <w:p w:rsidR="00661D14" w:rsidRDefault="00661D14" w:rsidP="00661D14">
      <w:pPr>
        <w:autoSpaceDE w:val="0"/>
        <w:autoSpaceDN w:val="0"/>
        <w:adjustRightInd w:val="0"/>
        <w:spacing w:after="0" w:line="240" w:lineRule="auto"/>
        <w:jc w:val="center"/>
        <w:rPr>
          <w:rFonts w:ascii="Utopia-Regular" w:hAnsi="Utopia-Regular" w:cs="Utopia-Regular"/>
          <w:sz w:val="20"/>
          <w:szCs w:val="20"/>
        </w:rPr>
      </w:pPr>
    </w:p>
    <w:p w:rsidR="00661D14" w:rsidRDefault="00661D14" w:rsidP="00661D14">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El crédito se </w:t>
      </w:r>
      <w:r w:rsidR="00C11871">
        <w:rPr>
          <w:rFonts w:ascii="Utopia-Regular" w:hAnsi="Utopia-Regular" w:cs="Utopia-Regular"/>
          <w:sz w:val="20"/>
          <w:szCs w:val="20"/>
        </w:rPr>
        <w:t>manejará</w:t>
      </w:r>
      <w:r>
        <w:rPr>
          <w:rFonts w:ascii="Utopia-Regular" w:hAnsi="Utopia-Regular" w:cs="Utopia-Regular"/>
          <w:sz w:val="20"/>
          <w:szCs w:val="20"/>
        </w:rPr>
        <w:t xml:space="preserve"> de la siguiente manera:</w:t>
      </w:r>
    </w:p>
    <w:p w:rsidR="00661D14" w:rsidRDefault="00661D14" w:rsidP="00661D14">
      <w:pPr>
        <w:autoSpaceDE w:val="0"/>
        <w:autoSpaceDN w:val="0"/>
        <w:adjustRightInd w:val="0"/>
        <w:spacing w:after="0" w:line="240" w:lineRule="auto"/>
        <w:rPr>
          <w:rFonts w:ascii="Utopia-Regular" w:hAnsi="Utopia-Regular" w:cs="Utopia-Regular"/>
          <w:sz w:val="20"/>
          <w:szCs w:val="20"/>
        </w:rPr>
      </w:pPr>
    </w:p>
    <w:p w:rsidR="00661D14" w:rsidRDefault="006570BB" w:rsidP="006570BB">
      <w:pPr>
        <w:autoSpaceDE w:val="0"/>
        <w:autoSpaceDN w:val="0"/>
        <w:adjustRightInd w:val="0"/>
        <w:spacing w:after="0" w:line="240" w:lineRule="auto"/>
        <w:jc w:val="center"/>
        <w:rPr>
          <w:b/>
        </w:rPr>
      </w:pPr>
      <w:r w:rsidRPr="006570BB">
        <w:drawing>
          <wp:inline distT="0" distB="0" distL="0" distR="0">
            <wp:extent cx="5527589" cy="2357133"/>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7589" cy="2357133"/>
                    </a:xfrm>
                    <a:prstGeom prst="rect">
                      <a:avLst/>
                    </a:prstGeom>
                    <a:noFill/>
                    <a:ln>
                      <a:noFill/>
                    </a:ln>
                  </pic:spPr>
                </pic:pic>
              </a:graphicData>
            </a:graphic>
          </wp:inline>
        </w:drawing>
      </w:r>
    </w:p>
    <w:p w:rsidR="006570BB" w:rsidRDefault="006570BB" w:rsidP="006570BB">
      <w:pPr>
        <w:autoSpaceDE w:val="0"/>
        <w:autoSpaceDN w:val="0"/>
        <w:adjustRightInd w:val="0"/>
        <w:spacing w:after="0" w:line="240" w:lineRule="auto"/>
        <w:jc w:val="center"/>
        <w:rPr>
          <w:b/>
        </w:rPr>
      </w:pPr>
    </w:p>
    <w:p w:rsidR="006570BB" w:rsidRDefault="006570BB" w:rsidP="006570BB">
      <w:pPr>
        <w:autoSpaceDE w:val="0"/>
        <w:autoSpaceDN w:val="0"/>
        <w:adjustRightInd w:val="0"/>
        <w:spacing w:after="0" w:line="240" w:lineRule="auto"/>
        <w:rPr>
          <w:rFonts w:ascii="Utopia-Bold" w:hAnsi="Utopia-Bold" w:cs="Utopia-Bold"/>
          <w:b/>
          <w:bCs/>
        </w:rPr>
      </w:pPr>
      <w:r>
        <w:rPr>
          <w:rFonts w:ascii="Utopia-Bold" w:hAnsi="Utopia-Bold" w:cs="Utopia-Bold"/>
          <w:b/>
          <w:bCs/>
        </w:rPr>
        <w:lastRenderedPageBreak/>
        <w:t xml:space="preserve">5.8.7. </w:t>
      </w:r>
      <w:bookmarkStart w:id="0" w:name="_GoBack"/>
      <w:bookmarkEnd w:id="0"/>
      <w:r>
        <w:rPr>
          <w:rFonts w:ascii="Utopia-Bold" w:hAnsi="Utopia-Bold" w:cs="Utopia-Bold"/>
          <w:b/>
          <w:bCs/>
        </w:rPr>
        <w:t>Justificación Ingresos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Teniendo en cuenta que los costos de producción y el presupuesto inicial ya se encuentran definidos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en las secciones de Estudio de Factibilidad Técnica (9.2) y Plan de Financiación (10.7) respectivamente,</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a continuación se verá la justificación de los ingresos del modelo de negocios.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Se va a tomar como referencia el primer año de operación, según el estado de resultados las ventas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totales para dicho año son de $144,827,500, sin desconocer que existe un factor de estacionalidad y</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que no todo los meses iguales se procede a hacer un promedio de ingresos mensuales para efectos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de esta justificación, teniendo entonces una proyección de $12,068,958 mensuales.</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Conociendo que el precio del producto (clic) es de $1,338 el cual fue definido en la sección Identificación</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del Producto (9.1.3), se deben vender entonces 9020 clics en promedio cada mes, en la figura</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10-9 se muestran estadísticas del número de clics en la publicidad por cada cien visitas en un sitio</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web orientado al sector educativo, como se puede apreciar este índice es aproximadamente del 5%</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lo que implicaría que se proyectan 180400 visitas mensuales aproximadamente durante este primer</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año.</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En el Estudio de Mercado, en la subsección de Estudio de clientes potenciales (9.1.1) se identificó</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el público objetivo de 655.972, jóvenes entre 15 y 24 años con acceso a internet y tomando como</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base el aumento que ha tenido el acceso a la educación superior desde el año 2000[15] e interés en</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la educación superior en Bogotá, teniendo en cuenta las estrategias publicitarias que se realizarán</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durante el desarrollo del producto y en la ejecución del mismo se espera impactar en un promedio</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 xml:space="preserve">de 44% del </w:t>
      </w:r>
      <w:proofErr w:type="spellStart"/>
      <w:r>
        <w:rPr>
          <w:rFonts w:ascii="Utopia-Regular" w:hAnsi="Utopia-Regular" w:cs="Utopia-Regular"/>
          <w:sz w:val="20"/>
          <w:szCs w:val="20"/>
        </w:rPr>
        <w:t>publico</w:t>
      </w:r>
      <w:proofErr w:type="spellEnd"/>
      <w:r>
        <w:rPr>
          <w:rFonts w:ascii="Utopia-Regular" w:hAnsi="Utopia-Regular" w:cs="Utopia-Regular"/>
          <w:sz w:val="20"/>
          <w:szCs w:val="20"/>
        </w:rPr>
        <w:t xml:space="preserve"> objetivo (290.000) teniendo en cuenta el presupuesto destinado para publicidad</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y mercadeo. De esta forma se estaría superando el número de visitas mínimas necesarias en</w:t>
      </w:r>
    </w:p>
    <w:p w:rsidR="006570BB" w:rsidRDefault="006570BB" w:rsidP="006570BB">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sz w:val="20"/>
          <w:szCs w:val="20"/>
        </w:rPr>
        <w:t>promedio mensualmente, esto con el fin de tener un margen de error que permita el desarrollo del</w:t>
      </w:r>
    </w:p>
    <w:p w:rsidR="006570BB" w:rsidRPr="00B471B4" w:rsidRDefault="006570BB" w:rsidP="006570BB">
      <w:pPr>
        <w:autoSpaceDE w:val="0"/>
        <w:autoSpaceDN w:val="0"/>
        <w:adjustRightInd w:val="0"/>
        <w:spacing w:after="0" w:line="240" w:lineRule="auto"/>
        <w:rPr>
          <w:b/>
        </w:rPr>
      </w:pPr>
      <w:r>
        <w:rPr>
          <w:rFonts w:ascii="Utopia-Regular" w:hAnsi="Utopia-Regular" w:cs="Utopia-Regular"/>
          <w:sz w:val="20"/>
          <w:szCs w:val="20"/>
        </w:rPr>
        <w:t>proyecto.</w:t>
      </w:r>
    </w:p>
    <w:sectPr w:rsidR="006570BB" w:rsidRPr="00B471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Utopia-Bold">
    <w:altName w:val="Calibri"/>
    <w:panose1 w:val="00000000000000000000"/>
    <w:charset w:val="00"/>
    <w:family w:val="auto"/>
    <w:notTrueType/>
    <w:pitch w:val="default"/>
    <w:sig w:usb0="00000003" w:usb1="00000000" w:usb2="00000000" w:usb3="00000000" w:csb0="00000001" w:csb1="00000000"/>
  </w:font>
  <w:font w:name="Fourier-Math-Symbols">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CF1010"/>
    <w:multiLevelType w:val="hybridMultilevel"/>
    <w:tmpl w:val="DA7C6F9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0DE"/>
    <w:rsid w:val="00021FC6"/>
    <w:rsid w:val="00096BDF"/>
    <w:rsid w:val="001329C6"/>
    <w:rsid w:val="001350AE"/>
    <w:rsid w:val="002A0324"/>
    <w:rsid w:val="002C7F4E"/>
    <w:rsid w:val="003C5331"/>
    <w:rsid w:val="00442CC9"/>
    <w:rsid w:val="00493B5B"/>
    <w:rsid w:val="005B103C"/>
    <w:rsid w:val="005C640E"/>
    <w:rsid w:val="005F6BA4"/>
    <w:rsid w:val="006570BB"/>
    <w:rsid w:val="00661D14"/>
    <w:rsid w:val="008D129F"/>
    <w:rsid w:val="00974C04"/>
    <w:rsid w:val="00A34FA5"/>
    <w:rsid w:val="00A45D3A"/>
    <w:rsid w:val="00A750DE"/>
    <w:rsid w:val="00AE5B60"/>
    <w:rsid w:val="00B471B4"/>
    <w:rsid w:val="00C11871"/>
    <w:rsid w:val="00C26183"/>
    <w:rsid w:val="00D779FB"/>
    <w:rsid w:val="00DB50A8"/>
    <w:rsid w:val="00F17507"/>
    <w:rsid w:val="00F75629"/>
    <w:rsid w:val="00FC5989"/>
    <w:rsid w:val="00FD69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D7E3"/>
  <w15:chartTrackingRefBased/>
  <w15:docId w15:val="{E7295AC5-2C08-4E1A-9AFC-01F02B253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6183"/>
    <w:rPr>
      <w:color w:val="808080"/>
    </w:rPr>
  </w:style>
  <w:style w:type="paragraph" w:styleId="Prrafodelista">
    <w:name w:val="List Paragraph"/>
    <w:basedOn w:val="Normal"/>
    <w:uiPriority w:val="34"/>
    <w:qFormat/>
    <w:rsid w:val="00C26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43328">
      <w:bodyDiv w:val="1"/>
      <w:marLeft w:val="0"/>
      <w:marRight w:val="0"/>
      <w:marTop w:val="0"/>
      <w:marBottom w:val="0"/>
      <w:divBdr>
        <w:top w:val="none" w:sz="0" w:space="0" w:color="auto"/>
        <w:left w:val="none" w:sz="0" w:space="0" w:color="auto"/>
        <w:bottom w:val="none" w:sz="0" w:space="0" w:color="auto"/>
        <w:right w:val="none" w:sz="0" w:space="0" w:color="auto"/>
      </w:divBdr>
    </w:div>
    <w:div w:id="462188592">
      <w:bodyDiv w:val="1"/>
      <w:marLeft w:val="0"/>
      <w:marRight w:val="0"/>
      <w:marTop w:val="0"/>
      <w:marBottom w:val="0"/>
      <w:divBdr>
        <w:top w:val="none" w:sz="0" w:space="0" w:color="auto"/>
        <w:left w:val="none" w:sz="0" w:space="0" w:color="auto"/>
        <w:bottom w:val="none" w:sz="0" w:space="0" w:color="auto"/>
        <w:right w:val="none" w:sz="0" w:space="0" w:color="auto"/>
      </w:divBdr>
    </w:div>
    <w:div w:id="607737018">
      <w:bodyDiv w:val="1"/>
      <w:marLeft w:val="0"/>
      <w:marRight w:val="0"/>
      <w:marTop w:val="0"/>
      <w:marBottom w:val="0"/>
      <w:divBdr>
        <w:top w:val="none" w:sz="0" w:space="0" w:color="auto"/>
        <w:left w:val="none" w:sz="0" w:space="0" w:color="auto"/>
        <w:bottom w:val="none" w:sz="0" w:space="0" w:color="auto"/>
        <w:right w:val="none" w:sz="0" w:space="0" w:color="auto"/>
      </w:divBdr>
    </w:div>
    <w:div w:id="750350468">
      <w:bodyDiv w:val="1"/>
      <w:marLeft w:val="0"/>
      <w:marRight w:val="0"/>
      <w:marTop w:val="0"/>
      <w:marBottom w:val="0"/>
      <w:divBdr>
        <w:top w:val="none" w:sz="0" w:space="0" w:color="auto"/>
        <w:left w:val="none" w:sz="0" w:space="0" w:color="auto"/>
        <w:bottom w:val="none" w:sz="0" w:space="0" w:color="auto"/>
        <w:right w:val="none" w:sz="0" w:space="0" w:color="auto"/>
      </w:divBdr>
    </w:div>
    <w:div w:id="827868794">
      <w:bodyDiv w:val="1"/>
      <w:marLeft w:val="0"/>
      <w:marRight w:val="0"/>
      <w:marTop w:val="0"/>
      <w:marBottom w:val="0"/>
      <w:divBdr>
        <w:top w:val="none" w:sz="0" w:space="0" w:color="auto"/>
        <w:left w:val="none" w:sz="0" w:space="0" w:color="auto"/>
        <w:bottom w:val="none" w:sz="0" w:space="0" w:color="auto"/>
        <w:right w:val="none" w:sz="0" w:space="0" w:color="auto"/>
      </w:divBdr>
    </w:div>
    <w:div w:id="1000811815">
      <w:bodyDiv w:val="1"/>
      <w:marLeft w:val="0"/>
      <w:marRight w:val="0"/>
      <w:marTop w:val="0"/>
      <w:marBottom w:val="0"/>
      <w:divBdr>
        <w:top w:val="none" w:sz="0" w:space="0" w:color="auto"/>
        <w:left w:val="none" w:sz="0" w:space="0" w:color="auto"/>
        <w:bottom w:val="none" w:sz="0" w:space="0" w:color="auto"/>
        <w:right w:val="none" w:sz="0" w:space="0" w:color="auto"/>
      </w:divBdr>
    </w:div>
    <w:div w:id="13794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3648</TotalTime>
  <Pages>8</Pages>
  <Words>1349</Words>
  <Characters>7420</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Abeja</dc:creator>
  <cp:keywords/>
  <dc:description/>
  <cp:lastModifiedBy>Abeja</cp:lastModifiedBy>
  <cp:revision>2</cp:revision>
  <dcterms:created xsi:type="dcterms:W3CDTF">2017-02-17T19:15:00Z</dcterms:created>
  <dcterms:modified xsi:type="dcterms:W3CDTF">2017-02-20T10:03:00Z</dcterms:modified>
</cp:coreProperties>
</file>