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jc w:val="center"/>
        <w:rPr/>
      </w:pPr>
      <w:r>
        <w:rPr>
          <w:rFonts w:eastAsia="Arial" w:cs="Arial"/>
          <w:b/>
          <w:bCs/>
          <w:color w:val="0B1A3E"/>
          <w:sz w:val="72"/>
          <w:szCs w:val="72"/>
        </w:rPr>
        <w:t>DATA QUALITY</w:t>
      </w:r>
    </w:p>
    <w:p>
      <w:pPr>
        <w:pStyle w:val="Normal"/>
        <w:spacing w:before="0" w:after="0"/>
        <w:jc w:val="center"/>
        <w:rPr/>
      </w:pPr>
      <w:r>
        <w:rPr>
          <w:rFonts w:eastAsia="Arial" w:cs="Arial"/>
          <w:b/>
          <w:bCs/>
          <w:color w:val="1E4DB7"/>
          <w:sz w:val="72"/>
          <w:szCs w:val="72"/>
        </w:rPr>
        <w:t>MAINTENANCE TOOL</w:t>
      </w:r>
    </w:p>
    <w:p>
      <w:pPr>
        <w:pStyle w:val="Normal"/>
        <w:spacing w:before="40" w:after="40"/>
        <w:rPr/>
      </w:pPr>
      <w:r>
        <w:rPr/>
      </w:r>
    </w:p>
    <w:p>
      <w:pPr>
        <w:pStyle w:val="Normal"/>
        <w:spacing w:before="0" w:after="0"/>
        <w:jc w:val="center"/>
        <w:rPr/>
      </w:pPr>
      <w:r>
        <w:rPr>
          <w:rFonts w:eastAsia="Arial" w:cs="Arial"/>
          <w:i/>
          <w:iCs/>
          <w:color w:val="6B7FA3"/>
          <w:sz w:val="28"/>
          <w:szCs w:val="28"/>
        </w:rPr>
        <w:t>Feature Reference &amp; Technical Documentation</w:t>
      </w:r>
    </w:p>
    <w:p>
      <w:pPr>
        <w:pStyle w:val="Normal"/>
        <w:spacing w:before="200" w:after="200"/>
        <w:rPr>
          <w:sz w:val="36"/>
          <w:szCs w:val="36"/>
        </w:rPr>
      </w:pPr>
      <w:r>
        <w:rPr>
          <w:sz w:val="36"/>
          <w:szCs w:val="36"/>
        </w:rPr>
      </w:r>
    </w:p>
    <w:tbl>
      <w:tblPr>
        <w:tblW w:w="8544" w:type="dxa"/>
        <w:jc w:val="start"/>
        <w:tblInd w:w="0" w:type="dxa"/>
        <w:tblLayout w:type="fixed"/>
        <w:tblCellMar>
          <w:top w:w="80" w:type="dxa"/>
          <w:start w:w="140" w:type="dxa"/>
          <w:bottom w:w="80" w:type="dxa"/>
          <w:end w:w="140" w:type="dxa"/>
        </w:tblCellMar>
      </w:tblPr>
      <w:tblGrid>
        <w:gridCol w:w="2604"/>
        <w:gridCol w:w="5939"/>
      </w:tblGrid>
      <w:tr>
        <w:trPr/>
        <w:tc>
          <w:tcPr>
            <w:tcW w:w="2604" w:type="dxa"/>
            <w:tcBorders>
              <w:top w:val="single" w:sz="2" w:space="0" w:color="D0DAF5"/>
              <w:start w:val="single" w:sz="2" w:space="0" w:color="D0DAF5"/>
              <w:bottom w:val="single" w:sz="2" w:space="0" w:color="D0DAF5"/>
              <w:end w:val="single" w:sz="2" w:space="0" w:color="D0DAF5"/>
            </w:tcBorders>
            <w:shd w:fill="0B1A3E" w:val="clear"/>
            <w:vAlign w:val="center"/>
          </w:tcPr>
          <w:p>
            <w:pPr>
              <w:pStyle w:val="Normal"/>
              <w:jc w:val="center"/>
              <w:rPr>
                <w:sz w:val="36"/>
                <w:szCs w:val="36"/>
              </w:rPr>
            </w:pPr>
            <w:r>
              <w:rPr>
                <w:rFonts w:eastAsia="Arial" w:cs="Arial"/>
                <w:b/>
                <w:bCs/>
                <w:i w:val="false"/>
                <w:iCs w:val="false"/>
                <w:color w:val="FFFFFF"/>
                <w:sz w:val="36"/>
                <w:szCs w:val="36"/>
              </w:rPr>
              <w:t>Application</w:t>
            </w:r>
          </w:p>
        </w:tc>
        <w:tc>
          <w:tcPr>
            <w:tcW w:w="5939" w:type="dxa"/>
            <w:tcBorders>
              <w:top w:val="single" w:sz="2" w:space="0" w:color="D0DAF5"/>
              <w:start w:val="single" w:sz="2" w:space="0" w:color="D0DAF5"/>
              <w:bottom w:val="single" w:sz="2" w:space="0" w:color="D0DAF5"/>
              <w:end w:val="single" w:sz="2" w:space="0" w:color="D0DAF5"/>
            </w:tcBorders>
            <w:shd w:fill="F0F4FF" w:val="clear"/>
            <w:vAlign w:val="center"/>
          </w:tcPr>
          <w:p>
            <w:pPr>
              <w:pStyle w:val="Normal"/>
              <w:jc w:val="center"/>
              <w:rPr>
                <w:sz w:val="36"/>
                <w:szCs w:val="36"/>
              </w:rPr>
            </w:pPr>
            <w:r>
              <w:rPr>
                <w:rFonts w:eastAsia="Arial" w:cs="Arial"/>
                <w:b w:val="false"/>
                <w:bCs w:val="false"/>
                <w:i w:val="false"/>
                <w:iCs w:val="false"/>
                <w:color w:val="1C2A4A"/>
                <w:sz w:val="36"/>
                <w:szCs w:val="36"/>
              </w:rPr>
              <w:t>Data Quality Maintenance Tool</w:t>
            </w:r>
          </w:p>
        </w:tc>
      </w:tr>
      <w:tr>
        <w:trPr/>
        <w:tc>
          <w:tcPr>
            <w:tcW w:w="2604" w:type="dxa"/>
            <w:tcBorders>
              <w:top w:val="single" w:sz="2" w:space="0" w:color="D0DAF5"/>
              <w:start w:val="single" w:sz="2" w:space="0" w:color="D0DAF5"/>
              <w:bottom w:val="single" w:sz="2" w:space="0" w:color="D0DAF5"/>
              <w:end w:val="single" w:sz="2" w:space="0" w:color="D0DAF5"/>
            </w:tcBorders>
            <w:shd w:fill="0B1A3E" w:val="clear"/>
            <w:vAlign w:val="center"/>
          </w:tcPr>
          <w:p>
            <w:pPr>
              <w:pStyle w:val="Normal"/>
              <w:jc w:val="center"/>
              <w:rPr>
                <w:sz w:val="36"/>
                <w:szCs w:val="36"/>
              </w:rPr>
            </w:pPr>
            <w:r>
              <w:rPr>
                <w:rFonts w:eastAsia="Arial" w:cs="Arial"/>
                <w:b/>
                <w:bCs/>
                <w:i w:val="false"/>
                <w:iCs w:val="false"/>
                <w:color w:val="FFFFFF"/>
                <w:sz w:val="36"/>
                <w:szCs w:val="36"/>
              </w:rPr>
              <w:t>Framework</w:t>
            </w:r>
          </w:p>
        </w:tc>
        <w:tc>
          <w:tcPr>
            <w:tcW w:w="5939" w:type="dxa"/>
            <w:tcBorders>
              <w:top w:val="single" w:sz="2" w:space="0" w:color="D0DAF5"/>
              <w:start w:val="single" w:sz="2" w:space="0" w:color="D0DAF5"/>
              <w:bottom w:val="single" w:sz="2" w:space="0" w:color="D0DAF5"/>
              <w:end w:val="single" w:sz="2" w:space="0" w:color="D0DAF5"/>
            </w:tcBorders>
            <w:shd w:fill="F0F4FF" w:val="clear"/>
            <w:vAlign w:val="center"/>
          </w:tcPr>
          <w:p>
            <w:pPr>
              <w:pStyle w:val="Normal"/>
              <w:jc w:val="center"/>
              <w:rPr>
                <w:sz w:val="36"/>
                <w:szCs w:val="36"/>
              </w:rPr>
            </w:pPr>
            <w:r>
              <w:rPr>
                <w:rFonts w:eastAsia="Arial" w:cs="Arial"/>
                <w:b w:val="false"/>
                <w:bCs w:val="false"/>
                <w:i w:val="false"/>
                <w:iCs w:val="false"/>
                <w:color w:val="1C2A4A"/>
                <w:sz w:val="36"/>
                <w:szCs w:val="36"/>
              </w:rPr>
              <w:t>Streamlit + Python</w:t>
            </w:r>
          </w:p>
        </w:tc>
      </w:tr>
      <w:tr>
        <w:trPr/>
        <w:tc>
          <w:tcPr>
            <w:tcW w:w="2604" w:type="dxa"/>
            <w:tcBorders>
              <w:top w:val="single" w:sz="2" w:space="0" w:color="D0DAF5"/>
              <w:start w:val="single" w:sz="2" w:space="0" w:color="D0DAF5"/>
              <w:bottom w:val="single" w:sz="2" w:space="0" w:color="D0DAF5"/>
              <w:end w:val="single" w:sz="2" w:space="0" w:color="D0DAF5"/>
            </w:tcBorders>
            <w:shd w:fill="0B1A3E" w:val="clear"/>
            <w:vAlign w:val="center"/>
          </w:tcPr>
          <w:p>
            <w:pPr>
              <w:pStyle w:val="Normal"/>
              <w:jc w:val="center"/>
              <w:rPr>
                <w:sz w:val="36"/>
                <w:szCs w:val="36"/>
              </w:rPr>
            </w:pPr>
            <w:r>
              <w:rPr>
                <w:rFonts w:eastAsia="Arial" w:cs="Arial"/>
                <w:b/>
                <w:bCs/>
                <w:i w:val="false"/>
                <w:iCs w:val="false"/>
                <w:color w:val="FFFFFF"/>
                <w:sz w:val="36"/>
                <w:szCs w:val="36"/>
              </w:rPr>
              <w:t>Document Type</w:t>
            </w:r>
          </w:p>
        </w:tc>
        <w:tc>
          <w:tcPr>
            <w:tcW w:w="5939" w:type="dxa"/>
            <w:tcBorders>
              <w:top w:val="single" w:sz="2" w:space="0" w:color="D0DAF5"/>
              <w:start w:val="single" w:sz="2" w:space="0" w:color="D0DAF5"/>
              <w:bottom w:val="single" w:sz="2" w:space="0" w:color="D0DAF5"/>
              <w:end w:val="single" w:sz="2" w:space="0" w:color="D0DAF5"/>
            </w:tcBorders>
            <w:shd w:fill="F0F4FF" w:val="clear"/>
            <w:vAlign w:val="center"/>
          </w:tcPr>
          <w:p>
            <w:pPr>
              <w:pStyle w:val="Normal"/>
              <w:jc w:val="center"/>
              <w:rPr>
                <w:sz w:val="36"/>
                <w:szCs w:val="36"/>
              </w:rPr>
            </w:pPr>
            <w:r>
              <w:rPr>
                <w:rFonts w:eastAsia="Arial" w:cs="Arial"/>
                <w:b w:val="false"/>
                <w:bCs w:val="false"/>
                <w:i w:val="false"/>
                <w:iCs w:val="false"/>
                <w:color w:val="1C2A4A"/>
                <w:sz w:val="36"/>
                <w:szCs w:val="36"/>
              </w:rPr>
              <w:t>Feature &amp; Technical Report</w:t>
            </w:r>
          </w:p>
        </w:tc>
      </w:tr>
      <w:tr>
        <w:trPr/>
        <w:tc>
          <w:tcPr>
            <w:tcW w:w="2604" w:type="dxa"/>
            <w:tcBorders>
              <w:top w:val="single" w:sz="2" w:space="0" w:color="D0DAF5"/>
              <w:start w:val="single" w:sz="2" w:space="0" w:color="D0DAF5"/>
              <w:bottom w:val="single" w:sz="2" w:space="0" w:color="D0DAF5"/>
              <w:end w:val="single" w:sz="2" w:space="0" w:color="D0DAF5"/>
            </w:tcBorders>
            <w:shd w:fill="0B1A3E" w:val="clear"/>
            <w:vAlign w:val="center"/>
          </w:tcPr>
          <w:p>
            <w:pPr>
              <w:pStyle w:val="Normal"/>
              <w:jc w:val="center"/>
              <w:rPr>
                <w:sz w:val="36"/>
                <w:szCs w:val="36"/>
              </w:rPr>
            </w:pPr>
            <w:r>
              <w:rPr>
                <w:rFonts w:eastAsia="Arial" w:cs="Arial"/>
                <w:b/>
                <w:bCs/>
                <w:i w:val="false"/>
                <w:iCs w:val="false"/>
                <w:color w:val="FFFFFF"/>
                <w:sz w:val="36"/>
                <w:szCs w:val="36"/>
              </w:rPr>
              <w:t>Version</w:t>
            </w:r>
          </w:p>
        </w:tc>
        <w:tc>
          <w:tcPr>
            <w:tcW w:w="5939" w:type="dxa"/>
            <w:tcBorders>
              <w:top w:val="single" w:sz="2" w:space="0" w:color="D0DAF5"/>
              <w:start w:val="single" w:sz="2" w:space="0" w:color="D0DAF5"/>
              <w:bottom w:val="single" w:sz="2" w:space="0" w:color="D0DAF5"/>
              <w:end w:val="single" w:sz="2" w:space="0" w:color="D0DAF5"/>
            </w:tcBorders>
            <w:shd w:fill="F0F4FF" w:val="clear"/>
            <w:vAlign w:val="center"/>
          </w:tcPr>
          <w:p>
            <w:pPr>
              <w:pStyle w:val="Normal"/>
              <w:jc w:val="center"/>
              <w:rPr>
                <w:sz w:val="36"/>
                <w:szCs w:val="36"/>
              </w:rPr>
            </w:pPr>
            <w:r>
              <w:rPr>
                <w:rFonts w:eastAsia="Arial" w:cs="Arial"/>
                <w:b w:val="false"/>
                <w:bCs w:val="false"/>
                <w:i w:val="false"/>
                <w:iCs w:val="false"/>
                <w:color w:val="1C2A4A"/>
                <w:sz w:val="36"/>
                <w:szCs w:val="36"/>
              </w:rPr>
              <w:t>1.0 — Production Release</w:t>
            </w:r>
          </w:p>
        </w:tc>
      </w:tr>
      <w:tr>
        <w:trPr/>
        <w:tc>
          <w:tcPr>
            <w:tcW w:w="2604" w:type="dxa"/>
            <w:tcBorders>
              <w:top w:val="single" w:sz="2" w:space="0" w:color="D0DAF5"/>
              <w:start w:val="single" w:sz="2" w:space="0" w:color="D0DAF5"/>
              <w:bottom w:val="single" w:sz="2" w:space="0" w:color="D0DAF5"/>
              <w:end w:val="single" w:sz="2" w:space="0" w:color="D0DAF5"/>
            </w:tcBorders>
            <w:shd w:fill="0B1A3E" w:val="clear"/>
            <w:vAlign w:val="center"/>
          </w:tcPr>
          <w:p>
            <w:pPr>
              <w:pStyle w:val="Normal"/>
              <w:jc w:val="center"/>
              <w:rPr>
                <w:sz w:val="36"/>
                <w:szCs w:val="36"/>
              </w:rPr>
            </w:pPr>
            <w:r>
              <w:rPr>
                <w:rFonts w:eastAsia="Arial" w:cs="Arial"/>
                <w:b/>
                <w:bCs/>
                <w:i w:val="false"/>
                <w:iCs w:val="false"/>
                <w:color w:val="FFFFFF"/>
                <w:sz w:val="36"/>
                <w:szCs w:val="36"/>
              </w:rPr>
              <w:t>Date</w:t>
            </w:r>
          </w:p>
        </w:tc>
        <w:tc>
          <w:tcPr>
            <w:tcW w:w="5939" w:type="dxa"/>
            <w:tcBorders>
              <w:top w:val="single" w:sz="2" w:space="0" w:color="D0DAF5"/>
              <w:start w:val="single" w:sz="2" w:space="0" w:color="D0DAF5"/>
              <w:bottom w:val="single" w:sz="2" w:space="0" w:color="D0DAF5"/>
              <w:end w:val="single" w:sz="2" w:space="0" w:color="D0DAF5"/>
            </w:tcBorders>
            <w:shd w:fill="F0F4FF" w:val="clear"/>
            <w:vAlign w:val="center"/>
          </w:tcPr>
          <w:p>
            <w:pPr>
              <w:pStyle w:val="Normal"/>
              <w:jc w:val="center"/>
              <w:rPr>
                <w:sz w:val="36"/>
                <w:szCs w:val="36"/>
              </w:rPr>
            </w:pPr>
            <w:r>
              <w:rPr>
                <w:rFonts w:eastAsia="Arial" w:cs="Arial"/>
                <w:b w:val="false"/>
                <w:bCs w:val="false"/>
                <w:i w:val="false"/>
                <w:iCs w:val="false"/>
                <w:color w:val="1C2A4A"/>
                <w:sz w:val="36"/>
                <w:szCs w:val="36"/>
              </w:rPr>
              <w:t>April 2026</w:t>
            </w:r>
          </w:p>
        </w:tc>
      </w:tr>
    </w:tbl>
    <w:p>
      <w:pPr>
        <w:pStyle w:val="Normal"/>
        <w:spacing w:before="400" w:after="400"/>
        <w:rPr>
          <w:sz w:val="36"/>
          <w:szCs w:val="36"/>
        </w:rPr>
      </w:pPr>
      <w:r>
        <w:rPr>
          <w:sz w:val="36"/>
          <w:szCs w:val="36"/>
        </w:rPr>
      </w:r>
    </w:p>
    <w:p>
      <w:pPr>
        <w:pStyle w:val="Normal"/>
        <w:jc w:val="center"/>
        <w:rPr/>
      </w:pPr>
      <w:r>
        <w:rPr/>
      </w:r>
      <w:r>
        <w:br w:type="page"/>
      </w:r>
    </w:p>
    <w:p>
      <w:pPr>
        <w:pStyle w:val="Heading1"/>
        <w:pBdr>
          <w:bottom w:val="single" w:sz="8" w:space="4" w:color="1E4DB7"/>
        </w:pBdr>
        <w:spacing w:before="0" w:after="160"/>
        <w:rPr/>
      </w:pPr>
      <w:r>
        <w:rPr>
          <w:rFonts w:eastAsia="Arial" w:cs="Arial" w:ascii="Arial" w:hAnsi="Arial"/>
          <w:b/>
          <w:bCs/>
          <w:color w:val="0B1A3E"/>
          <w:sz w:val="32"/>
          <w:szCs w:val="32"/>
        </w:rPr>
        <w:t>1. Overview</w:t>
      </w:r>
    </w:p>
    <w:p>
      <w:pPr>
        <w:pStyle w:val="Normal"/>
        <w:spacing w:before="0" w:after="120"/>
        <w:jc w:val="start"/>
        <w:rPr>
          <w:sz w:val="28"/>
          <w:szCs w:val="28"/>
        </w:rPr>
      </w:pPr>
      <w:r>
        <w:rPr>
          <w:rFonts w:eastAsia="Arial" w:cs="Arial"/>
          <w:b w:val="false"/>
          <w:bCs w:val="false"/>
          <w:i w:val="false"/>
          <w:iCs w:val="false"/>
          <w:color w:val="1C2A4A"/>
          <w:sz w:val="28"/>
          <w:szCs w:val="28"/>
        </w:rPr>
        <w:t>The Data Quality Maintenance Tool is a Streamlit-based web application that provides a unified workspace for auditing and preparing datasets. It is designed for data analysts, ML engineers, and data scientists who need to quickly assess data quality issues and apply preprocessing transformations without writing code.</w:t>
      </w:r>
    </w:p>
    <w:p>
      <w:pPr>
        <w:pStyle w:val="Normal"/>
        <w:spacing w:before="80" w:after="80"/>
        <w:rPr>
          <w:sz w:val="28"/>
          <w:szCs w:val="28"/>
        </w:rPr>
      </w:pPr>
      <w:r>
        <w:rPr>
          <w:sz w:val="28"/>
          <w:szCs w:val="28"/>
        </w:rPr>
      </w:r>
    </w:p>
    <w:p>
      <w:pPr>
        <w:pStyle w:val="Normal"/>
        <w:spacing w:before="0" w:after="120"/>
        <w:jc w:val="start"/>
        <w:rPr>
          <w:sz w:val="28"/>
          <w:szCs w:val="28"/>
        </w:rPr>
      </w:pPr>
      <w:r>
        <w:rPr>
          <w:rFonts w:eastAsia="Arial" w:cs="Arial"/>
          <w:b w:val="false"/>
          <w:bCs w:val="false"/>
          <w:i w:val="false"/>
          <w:iCs w:val="false"/>
          <w:color w:val="1C2A4A"/>
          <w:sz w:val="28"/>
          <w:szCs w:val="28"/>
        </w:rPr>
        <w:t>The tool accepts multiple file formats and offers two primary functional areas — a Data Quality Analyzer and a Data Preparation pipeline — exposed as two interactive tabs within the same session.</w:t>
      </w:r>
    </w:p>
    <w:p>
      <w:pPr>
        <w:pStyle w:val="Normal"/>
        <w:spacing w:before="120" w:after="60"/>
        <w:rPr/>
      </w:pPr>
      <w:r>
        <w:rPr/>
      </w:r>
    </w:p>
    <w:p>
      <w:pPr>
        <w:pStyle w:val="Heading2"/>
        <w:spacing w:before="280" w:after="120"/>
        <w:rPr/>
      </w:pPr>
      <w:r>
        <w:rPr>
          <w:rFonts w:eastAsia="Arial" w:cs="Arial" w:ascii="Arial" w:hAnsi="Arial"/>
          <w:b/>
          <w:bCs/>
          <w:color w:val="1E4DB7"/>
          <w:sz w:val="26"/>
          <w:szCs w:val="26"/>
        </w:rPr>
        <w:t>1.1  Key Capabilities at a Glance</w:t>
      </w:r>
    </w:p>
    <w:tbl>
      <w:tblPr>
        <w:tblW w:w="9360" w:type="dxa"/>
        <w:jc w:val="start"/>
        <w:tblInd w:w="0" w:type="dxa"/>
        <w:tblLayout w:type="fixed"/>
        <w:tblCellMar>
          <w:top w:w="80" w:type="dxa"/>
          <w:start w:w="140" w:type="dxa"/>
          <w:bottom w:w="80" w:type="dxa"/>
          <w:end w:w="140" w:type="dxa"/>
        </w:tblCellMar>
      </w:tblPr>
      <w:tblGrid>
        <w:gridCol w:w="3324"/>
        <w:gridCol w:w="6035"/>
      </w:tblGrid>
      <w:tr>
        <w:trPr/>
        <w:tc>
          <w:tcPr>
            <w:tcW w:w="3324"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center"/>
              <w:rPr>
                <w:sz w:val="28"/>
                <w:szCs w:val="28"/>
              </w:rPr>
            </w:pPr>
            <w:r>
              <w:rPr>
                <w:rFonts w:eastAsia="Arial" w:cs="Arial"/>
                <w:b/>
                <w:bCs/>
                <w:i w:val="false"/>
                <w:iCs w:val="false"/>
                <w:color w:val="FFFFFF"/>
                <w:sz w:val="28"/>
                <w:szCs w:val="28"/>
              </w:rPr>
              <w:t>Capability</w:t>
            </w:r>
          </w:p>
        </w:tc>
        <w:tc>
          <w:tcPr>
            <w:tcW w:w="6035"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center"/>
              <w:rPr>
                <w:sz w:val="28"/>
                <w:szCs w:val="28"/>
              </w:rPr>
            </w:pPr>
            <w:r>
              <w:rPr>
                <w:rFonts w:eastAsia="Arial" w:cs="Arial"/>
                <w:b/>
                <w:bCs/>
                <w:i w:val="false"/>
                <w:iCs w:val="false"/>
                <w:color w:val="FFFFFF"/>
                <w:sz w:val="28"/>
                <w:szCs w:val="28"/>
              </w:rPr>
              <w:t>Description</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Multi-format ingestion</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CSV, TSV, TXT, XLSX, XLS, JSON supported</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Automated quality scoring</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0–100 score with letter grade (A/B/C) and penalty breakdown</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Issue detection</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Missing values, duplicates, outliers, type inconsistencies, constant columns, high correlation</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Column profiling</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Per-column statistics, inferred types, top values, IQR/Z-score outlier counts</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Interactive visualizations</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Score gauge, missing value chart, completeness bar, outlier bar, correlation heatmap, distribution histograms, categorical distributions</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6-step preprocessing pipeline</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Duplicate removal, missing value handling, categorical cleaning, encoding, outlier handling, feature scaling</w:t>
            </w:r>
          </w:p>
        </w:tc>
      </w:tr>
      <w:tr>
        <w:trPr/>
        <w:tc>
          <w:tcPr>
            <w:tcW w:w="3324"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bCs/>
                <w:i w:val="false"/>
                <w:iCs w:val="false"/>
                <w:color w:val="1C2A4A"/>
                <w:sz w:val="28"/>
                <w:szCs w:val="28"/>
              </w:rPr>
              <w:t>Export options</w:t>
            </w:r>
          </w:p>
        </w:tc>
        <w:tc>
          <w:tcPr>
            <w:tcW w:w="6035"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28"/>
                <w:szCs w:val="28"/>
              </w:rPr>
            </w:pPr>
            <w:r>
              <w:rPr>
                <w:rFonts w:eastAsia="Arial" w:cs="Arial"/>
                <w:b w:val="false"/>
                <w:bCs w:val="false"/>
                <w:i w:val="false"/>
                <w:iCs w:val="false"/>
                <w:color w:val="1C2A4A"/>
                <w:sz w:val="28"/>
                <w:szCs w:val="28"/>
              </w:rPr>
              <w:t>Column profile CSV, faulty rows CSV, JSON quality summary, processed data CSV</w:t>
            </w:r>
          </w:p>
        </w:tc>
      </w:tr>
    </w:tbl>
    <w:p>
      <w:pPr>
        <w:pStyle w:val="Normal"/>
        <w:spacing w:before="120" w:after="40"/>
        <w:rPr/>
      </w:pPr>
      <w:r>
        <w:rPr/>
      </w:r>
    </w:p>
    <w:p>
      <w:pPr>
        <w:pStyle w:val="Heading2"/>
        <w:spacing w:before="280" w:after="120"/>
        <w:rPr>
          <w:sz w:val="28"/>
          <w:szCs w:val="28"/>
        </w:rPr>
      </w:pPr>
      <w:r>
        <w:rPr/>
      </w:r>
    </w:p>
    <w:p>
      <w:pPr>
        <w:pStyle w:val="Heading2"/>
        <w:spacing w:before="280" w:after="120"/>
        <w:rPr>
          <w:sz w:val="28"/>
          <w:szCs w:val="28"/>
        </w:rPr>
      </w:pPr>
      <w:r>
        <w:rPr>
          <w:rFonts w:eastAsia="Arial" w:cs="Arial" w:ascii="Arial" w:hAnsi="Arial"/>
          <w:b/>
          <w:bCs/>
          <w:color w:val="1E4DB7"/>
          <w:sz w:val="28"/>
          <w:szCs w:val="28"/>
        </w:rPr>
        <w:t>1.2  Architecture Summary</w:t>
      </w:r>
    </w:p>
    <w:p>
      <w:pPr>
        <w:pStyle w:val="Normal"/>
        <w:spacing w:before="0" w:after="120"/>
        <w:jc w:val="start"/>
        <w:rPr>
          <w:sz w:val="28"/>
          <w:szCs w:val="28"/>
        </w:rPr>
      </w:pPr>
      <w:r>
        <w:rPr>
          <w:rFonts w:eastAsia="Arial" w:cs="Arial"/>
          <w:b w:val="false"/>
          <w:bCs w:val="false"/>
          <w:i w:val="false"/>
          <w:iCs w:val="false"/>
          <w:color w:val="1C2A4A"/>
          <w:sz w:val="28"/>
          <w:szCs w:val="28"/>
        </w:rPr>
        <w:t>The application is a single-file Streamlit app (data_quality_maintenance.py) structured into clearly separated layers:</w:t>
      </w:r>
    </w:p>
    <w:p>
      <w:pPr>
        <w:pStyle w:val="ListParagraph"/>
        <w:numPr>
          <w:ilvl w:val="0"/>
          <w:numId w:val="4"/>
        </w:numPr>
        <w:spacing w:before="40" w:after="60"/>
        <w:rPr>
          <w:sz w:val="28"/>
          <w:szCs w:val="28"/>
        </w:rPr>
      </w:pPr>
      <w:r>
        <w:rPr>
          <w:rFonts w:eastAsia="Arial" w:cs="Arial"/>
          <w:color w:val="1C2A4A"/>
          <w:sz w:val="28"/>
          <w:szCs w:val="28"/>
        </w:rPr>
        <w:t>Data layer: load_data() handles format detection and parsing with configurable missing-value markers.</w:t>
      </w:r>
    </w:p>
    <w:p>
      <w:pPr>
        <w:pStyle w:val="ListParagraph"/>
        <w:numPr>
          <w:ilvl w:val="0"/>
          <w:numId w:val="5"/>
        </w:numPr>
        <w:spacing w:before="40" w:after="60"/>
        <w:rPr>
          <w:sz w:val="28"/>
          <w:szCs w:val="28"/>
        </w:rPr>
      </w:pPr>
      <w:r>
        <w:rPr>
          <w:rFonts w:eastAsia="Arial" w:cs="Arial"/>
          <w:color w:val="1C2A4A"/>
          <w:sz w:val="28"/>
          <w:szCs w:val="28"/>
        </w:rPr>
        <w:t>Analysis engine: analyze_dataset() produces a comprehensive result dict covering all quality dimensions.</w:t>
      </w:r>
    </w:p>
    <w:p>
      <w:pPr>
        <w:pStyle w:val="ListParagraph"/>
        <w:numPr>
          <w:ilvl w:val="0"/>
          <w:numId w:val="6"/>
        </w:numPr>
        <w:spacing w:before="40" w:after="60"/>
        <w:rPr>
          <w:sz w:val="28"/>
          <w:szCs w:val="28"/>
        </w:rPr>
      </w:pPr>
      <w:r>
        <w:rPr>
          <w:rFonts w:eastAsia="Arial" w:cs="Arial"/>
          <w:color w:val="1C2A4A"/>
          <w:sz w:val="28"/>
          <w:szCs w:val="28"/>
        </w:rPr>
        <w:t>Visualization layer: Plotly-based chart builders (build_*) return Figure objects rendered by Streamlit.</w:t>
      </w:r>
    </w:p>
    <w:p>
      <w:pPr>
        <w:pStyle w:val="ListParagraph"/>
        <w:numPr>
          <w:ilvl w:val="0"/>
          <w:numId w:val="7"/>
        </w:numPr>
        <w:spacing w:before="40" w:after="60"/>
        <w:rPr>
          <w:sz w:val="28"/>
          <w:szCs w:val="28"/>
        </w:rPr>
      </w:pPr>
      <w:r>
        <w:rPr>
          <w:rFonts w:eastAsia="Arial" w:cs="Arial"/>
          <w:color w:val="1C2A4A"/>
          <w:sz w:val="28"/>
          <w:szCs w:val="28"/>
        </w:rPr>
        <w:t>UI layer: render_analyzer_tab() and render_preparation_tab() compose the two tab interfaces.</w:t>
      </w:r>
    </w:p>
    <w:p>
      <w:pPr>
        <w:pStyle w:val="ListParagraph"/>
        <w:numPr>
          <w:ilvl w:val="0"/>
          <w:numId w:val="8"/>
        </w:numPr>
        <w:spacing w:before="40" w:after="60"/>
        <w:rPr>
          <w:sz w:val="28"/>
          <w:szCs w:val="28"/>
        </w:rPr>
      </w:pPr>
      <w:r>
        <w:rPr>
          <w:rFonts w:eastAsia="Arial" w:cs="Arial"/>
          <w:color w:val="1C2A4A"/>
          <w:sz w:val="28"/>
          <w:szCs w:val="28"/>
        </w:rPr>
        <w:t>Shared state: Streamlit session_state caches the working DataFrame across reruns so preprocessing changes persist.</w:t>
      </w:r>
    </w:p>
    <w:p>
      <w:pPr>
        <w:pStyle w:val="Normal"/>
        <w:spacing w:before="80" w:after="80"/>
        <w:rPr/>
      </w:pPr>
      <w:r>
        <w:rPr/>
      </w:r>
    </w:p>
    <w:p>
      <w:pPr>
        <w:pStyle w:val="Heading1"/>
        <w:pBdr>
          <w:bottom w:val="single" w:sz="8" w:space="4" w:color="1E4DB7"/>
        </w:pBdr>
        <w:spacing w:before="0" w:after="160"/>
        <w:rPr/>
      </w:pPr>
      <w:r>
        <w:rPr>
          <w:rFonts w:eastAsia="Arial" w:cs="Arial" w:ascii="Arial" w:hAnsi="Arial"/>
          <w:b/>
          <w:bCs/>
          <w:color w:val="0B1A3E"/>
          <w:sz w:val="32"/>
          <w:szCs w:val="32"/>
        </w:rPr>
        <w:t>2. Installation &amp; Setup</w:t>
      </w:r>
    </w:p>
    <w:p>
      <w:pPr>
        <w:pStyle w:val="Heading2"/>
        <w:spacing w:before="280" w:after="120"/>
        <w:rPr/>
      </w:pPr>
      <w:r>
        <w:rPr>
          <w:rFonts w:eastAsia="Arial" w:cs="Arial" w:ascii="Arial" w:hAnsi="Arial"/>
          <w:b/>
          <w:bCs/>
          <w:color w:val="1E4DB7"/>
          <w:sz w:val="26"/>
          <w:szCs w:val="26"/>
        </w:rPr>
        <w:t>2.1  Dependencies</w:t>
      </w:r>
    </w:p>
    <w:tbl>
      <w:tblPr>
        <w:tblW w:w="9768" w:type="dxa"/>
        <w:jc w:val="start"/>
        <w:tblInd w:w="0" w:type="dxa"/>
        <w:tblLayout w:type="fixed"/>
        <w:tblCellMar>
          <w:top w:w="80" w:type="dxa"/>
          <w:start w:w="140" w:type="dxa"/>
          <w:bottom w:w="80" w:type="dxa"/>
          <w:end w:w="140" w:type="dxa"/>
        </w:tblCellMar>
      </w:tblPr>
      <w:tblGrid>
        <w:gridCol w:w="2600"/>
        <w:gridCol w:w="2600"/>
        <w:gridCol w:w="4568"/>
      </w:tblGrid>
      <w:tr>
        <w:trPr/>
        <w:tc>
          <w:tcPr>
            <w:tcW w:w="26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center"/>
              <w:rPr>
                <w:sz w:val="32"/>
                <w:szCs w:val="32"/>
              </w:rPr>
            </w:pPr>
            <w:r>
              <w:rPr>
                <w:rFonts w:eastAsia="Arial" w:cs="Arial"/>
                <w:b/>
                <w:bCs/>
                <w:i w:val="false"/>
                <w:iCs w:val="false"/>
                <w:color w:val="FFFFFF"/>
                <w:sz w:val="32"/>
                <w:szCs w:val="32"/>
              </w:rPr>
              <w:t>Package</w:t>
            </w:r>
          </w:p>
        </w:tc>
        <w:tc>
          <w:tcPr>
            <w:tcW w:w="26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center"/>
              <w:rPr>
                <w:sz w:val="32"/>
                <w:szCs w:val="32"/>
              </w:rPr>
            </w:pPr>
            <w:r>
              <w:rPr>
                <w:rFonts w:eastAsia="Arial" w:cs="Arial"/>
                <w:b/>
                <w:bCs/>
                <w:i w:val="false"/>
                <w:iCs w:val="false"/>
                <w:color w:val="FFFFFF"/>
                <w:sz w:val="32"/>
                <w:szCs w:val="32"/>
              </w:rPr>
              <w:t>Purpose</w:t>
            </w:r>
          </w:p>
        </w:tc>
        <w:tc>
          <w:tcPr>
            <w:tcW w:w="456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center"/>
              <w:rPr>
                <w:sz w:val="32"/>
                <w:szCs w:val="32"/>
              </w:rPr>
            </w:pPr>
            <w:r>
              <w:rPr>
                <w:rFonts w:eastAsia="Arial" w:cs="Arial"/>
                <w:b/>
                <w:bCs/>
                <w:i w:val="false"/>
                <w:iCs w:val="false"/>
                <w:color w:val="FFFFFF"/>
                <w:sz w:val="32"/>
                <w:szCs w:val="32"/>
              </w:rPr>
              <w:t>Notes</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streamlit</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Web UI framework</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Core runtime; renders all widgets and tabs</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pandas</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DataFrame operations</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Data loading, profiling, transformations</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numpy</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Numeric computation</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Array ops; use int() wrapper on .sum() for NumPy 2.x compat</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plotly</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Interactive charts</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graph_objects + express used for all visualizations</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scipy</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Statistical analysis</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scipy.stats.zscore for Z-score outlier detection</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scikit-learn</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ML preprocessing</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LabelEncoder, Standard/MinMax/Robust/MaxAbsScaler</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openpyxl</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Excel (.xlsx) support</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Required by pandas read_excel for .xlsx files</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bCs/>
                <w:i w:val="false"/>
                <w:iCs w:val="false"/>
                <w:color w:val="1C2A4A"/>
                <w:sz w:val="32"/>
                <w:szCs w:val="32"/>
              </w:rPr>
              <w:t>xlrd</w:t>
            </w:r>
          </w:p>
        </w:tc>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Legacy Excel (.xls)</w:t>
            </w:r>
          </w:p>
        </w:tc>
        <w:tc>
          <w:tcPr>
            <w:tcW w:w="4568" w:type="dxa"/>
            <w:tcBorders>
              <w:top w:val="single" w:sz="2" w:space="0" w:color="D0DAF5"/>
              <w:start w:val="single" w:sz="2" w:space="0" w:color="D0DAF5"/>
              <w:bottom w:val="single" w:sz="2" w:space="0" w:color="D0DAF5"/>
              <w:end w:val="single" w:sz="2" w:space="0" w:color="D0DAF5"/>
            </w:tcBorders>
            <w:vAlign w:val="center"/>
          </w:tcPr>
          <w:p>
            <w:pPr>
              <w:pStyle w:val="Normal"/>
              <w:jc w:val="center"/>
              <w:rPr>
                <w:sz w:val="32"/>
                <w:szCs w:val="32"/>
              </w:rPr>
            </w:pPr>
            <w:r>
              <w:rPr>
                <w:rFonts w:eastAsia="Arial" w:cs="Arial"/>
                <w:b w:val="false"/>
                <w:bCs w:val="false"/>
                <w:i w:val="false"/>
                <w:iCs w:val="false"/>
                <w:color w:val="1C2A4A"/>
                <w:sz w:val="32"/>
                <w:szCs w:val="32"/>
              </w:rPr>
              <w:t>Required for older .xls format files</w:t>
            </w:r>
          </w:p>
        </w:tc>
      </w:tr>
    </w:tbl>
    <w:p>
      <w:pPr>
        <w:pStyle w:val="Normal"/>
        <w:spacing w:before="120" w:after="60"/>
        <w:rPr/>
      </w:pPr>
      <w:r>
        <w:rPr/>
      </w:r>
    </w:p>
    <w:p>
      <w:pPr>
        <w:pStyle w:val="Heading2"/>
        <w:spacing w:before="280" w:after="120"/>
        <w:rPr>
          <w:sz w:val="28"/>
          <w:szCs w:val="28"/>
        </w:rPr>
      </w:pPr>
      <w:r>
        <w:rPr>
          <w:rFonts w:eastAsia="Arial" w:cs="Arial" w:ascii="Arial" w:hAnsi="Arial"/>
          <w:b/>
          <w:bCs/>
          <w:color w:val="1E4DB7"/>
          <w:sz w:val="28"/>
          <w:szCs w:val="28"/>
        </w:rPr>
        <w:t>2.2  Quick Start</w:t>
      </w:r>
    </w:p>
    <w:p>
      <w:pPr>
        <w:pStyle w:val="Normal"/>
        <w:spacing w:before="0" w:after="120"/>
        <w:jc w:val="start"/>
        <w:rPr>
          <w:sz w:val="28"/>
          <w:szCs w:val="28"/>
        </w:rPr>
      </w:pPr>
      <w:r>
        <w:rPr>
          <w:rFonts w:eastAsia="Arial" w:cs="Arial"/>
          <w:b w:val="false"/>
          <w:bCs w:val="false"/>
          <w:i w:val="false"/>
          <w:iCs w:val="false"/>
          <w:color w:val="1C2A4A"/>
          <w:sz w:val="28"/>
          <w:szCs w:val="28"/>
        </w:rPr>
        <w:t>Install all dependencies with a single pip command:</w:t>
      </w:r>
    </w:p>
    <w:p>
      <w:pPr>
        <w:pStyle w:val="Normal"/>
        <w:spacing w:before="40" w:after="40"/>
        <w:rPr>
          <w:sz w:val="28"/>
          <w:szCs w:val="28"/>
        </w:rPr>
      </w:pPr>
      <w:r>
        <w:rPr>
          <w:sz w:val="28"/>
          <w:szCs w:val="28"/>
        </w:rPr>
      </w:r>
    </w:p>
    <w:p>
      <w:pPr>
        <w:pStyle w:val="Normal"/>
        <w:shd w:val="clear" w:fill="EEF2FF"/>
        <w:spacing w:before="60" w:after="60"/>
        <w:rPr>
          <w:sz w:val="28"/>
          <w:szCs w:val="28"/>
        </w:rPr>
      </w:pPr>
      <w:r>
        <w:rPr>
          <w:rFonts w:eastAsia="Courier New" w:cs="Courier New" w:ascii="Courier New" w:hAnsi="Courier New"/>
          <w:color w:val="0B1A3E"/>
          <w:sz w:val="28"/>
          <w:szCs w:val="28"/>
        </w:rPr>
        <w:t>pip install streamlit pandas numpy plotly scipy openpyxl xlrd scikit-learn</w:t>
      </w:r>
    </w:p>
    <w:p>
      <w:pPr>
        <w:pStyle w:val="Normal"/>
        <w:spacing w:before="60" w:after="60"/>
        <w:rPr>
          <w:sz w:val="28"/>
          <w:szCs w:val="28"/>
        </w:rPr>
      </w:pPr>
      <w:r>
        <w:rPr>
          <w:sz w:val="28"/>
          <w:szCs w:val="28"/>
        </w:rPr>
      </w:r>
    </w:p>
    <w:p>
      <w:pPr>
        <w:pStyle w:val="Normal"/>
        <w:spacing w:before="0" w:after="120"/>
        <w:jc w:val="start"/>
        <w:rPr>
          <w:sz w:val="28"/>
          <w:szCs w:val="28"/>
        </w:rPr>
      </w:pPr>
      <w:r>
        <w:rPr>
          <w:rFonts w:eastAsia="Arial" w:cs="Arial"/>
          <w:b w:val="false"/>
          <w:bCs w:val="false"/>
          <w:i w:val="false"/>
          <w:iCs w:val="false"/>
          <w:color w:val="1C2A4A"/>
          <w:sz w:val="28"/>
          <w:szCs w:val="28"/>
        </w:rPr>
        <w:t>Then run the application:</w:t>
      </w:r>
    </w:p>
    <w:p>
      <w:pPr>
        <w:pStyle w:val="Normal"/>
        <w:shd w:val="clear" w:fill="EEF2FF"/>
        <w:spacing w:before="60" w:after="60"/>
        <w:rPr>
          <w:sz w:val="28"/>
          <w:szCs w:val="28"/>
        </w:rPr>
      </w:pPr>
      <w:r>
        <w:rPr>
          <w:rFonts w:eastAsia="Courier New" w:cs="Courier New" w:ascii="Courier New" w:hAnsi="Courier New"/>
          <w:color w:val="0B1A3E"/>
          <w:sz w:val="28"/>
          <w:szCs w:val="28"/>
        </w:rPr>
        <w:t>streamlit run data_quality_maintenance.py</w:t>
      </w:r>
    </w:p>
    <w:p>
      <w:pPr>
        <w:pStyle w:val="Normal"/>
        <w:spacing w:before="80" w:after="80"/>
        <w:rPr>
          <w:sz w:val="28"/>
          <w:szCs w:val="28"/>
        </w:rPr>
      </w:pPr>
      <w:r>
        <w:rPr>
          <w:sz w:val="28"/>
          <w:szCs w:val="28"/>
        </w:rPr>
      </w:r>
    </w:p>
    <w:p>
      <w:pPr>
        <w:pStyle w:val="Normal"/>
        <w:spacing w:before="0" w:after="120"/>
        <w:jc w:val="start"/>
        <w:rPr>
          <w:sz w:val="28"/>
          <w:szCs w:val="28"/>
        </w:rPr>
      </w:pPr>
      <w:r>
        <w:rPr>
          <w:rFonts w:eastAsia="Arial" w:cs="Arial"/>
          <w:b w:val="false"/>
          <w:bCs w:val="false"/>
          <w:i w:val="false"/>
          <w:iCs w:val="false"/>
          <w:color w:val="1C2A4A"/>
          <w:sz w:val="28"/>
          <w:szCs w:val="28"/>
        </w:rPr>
        <w:t>The app opens automatically in your default browser at http://localhost:8501.</w:t>
      </w:r>
    </w:p>
    <w:p>
      <w:pPr>
        <w:pStyle w:val="Heading1"/>
        <w:pBdr>
          <w:bottom w:val="single" w:sz="8" w:space="4" w:color="1E4DB7"/>
        </w:pBdr>
        <w:spacing w:before="0" w:after="160"/>
        <w:rPr/>
      </w:pPr>
      <w:r>
        <w:rPr>
          <w:rFonts w:eastAsia="Arial" w:cs="Arial" w:ascii="Arial" w:hAnsi="Arial"/>
          <w:b/>
          <w:bCs/>
          <w:color w:val="0B1A3E"/>
          <w:sz w:val="32"/>
          <w:szCs w:val="32"/>
        </w:rPr>
        <w:t>3. Data Ingestion</w:t>
      </w:r>
    </w:p>
    <w:p>
      <w:pPr>
        <w:pStyle w:val="Heading2"/>
        <w:spacing w:before="280" w:after="120"/>
        <w:rPr/>
      </w:pPr>
      <w:r>
        <w:rPr>
          <w:rFonts w:eastAsia="Arial" w:cs="Arial" w:ascii="Arial" w:hAnsi="Arial"/>
          <w:b/>
          <w:bCs/>
          <w:color w:val="1E4DB7"/>
          <w:sz w:val="26"/>
          <w:szCs w:val="26"/>
        </w:rPr>
        <w:t>3.1  Supported File Formats</w:t>
      </w:r>
    </w:p>
    <w:tbl>
      <w:tblPr>
        <w:tblW w:w="9360" w:type="dxa"/>
        <w:jc w:val="start"/>
        <w:tblInd w:w="0" w:type="dxa"/>
        <w:tblLayout w:type="fixed"/>
        <w:tblCellMar>
          <w:top w:w="80" w:type="dxa"/>
          <w:start w:w="140" w:type="dxa"/>
          <w:bottom w:w="80" w:type="dxa"/>
          <w:end w:w="140" w:type="dxa"/>
        </w:tblCellMar>
      </w:tblPr>
      <w:tblGrid>
        <w:gridCol w:w="1798"/>
        <w:gridCol w:w="1562"/>
        <w:gridCol w:w="6000"/>
      </w:tblGrid>
      <w:tr>
        <w:trPr/>
        <w:tc>
          <w:tcPr>
            <w:tcW w:w="179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Format</w:t>
            </w:r>
          </w:p>
        </w:tc>
        <w:tc>
          <w:tcPr>
            <w:tcW w:w="1562"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Extension(s)</w:t>
            </w:r>
          </w:p>
        </w:tc>
        <w:tc>
          <w:tcPr>
            <w:tcW w:w="60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Parsing Details</w:t>
            </w:r>
          </w:p>
        </w:tc>
      </w:tr>
      <w:tr>
        <w:trPr/>
        <w:tc>
          <w:tcPr>
            <w:tcW w:w="17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CSV</w:t>
            </w:r>
          </w:p>
        </w:tc>
        <w:tc>
          <w:tcPr>
            <w:tcW w:w="1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.csv</w:t>
            </w:r>
          </w:p>
        </w:tc>
        <w:tc>
          <w:tcPr>
            <w:tcW w:w="6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pandas read_csv with custom na_values list and keep_default_na=True</w:t>
            </w:r>
          </w:p>
        </w:tc>
      </w:tr>
      <w:tr>
        <w:trPr/>
        <w:tc>
          <w:tcPr>
            <w:tcW w:w="17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TSV / TXT</w:t>
            </w:r>
          </w:p>
        </w:tc>
        <w:tc>
          <w:tcPr>
            <w:tcW w:w="1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.tsv / .txt</w:t>
            </w:r>
          </w:p>
        </w:tc>
        <w:tc>
          <w:tcPr>
            <w:tcW w:w="6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pandas read_csv with sep="\t"; same na_values handling</w:t>
            </w:r>
          </w:p>
        </w:tc>
      </w:tr>
      <w:tr>
        <w:trPr/>
        <w:tc>
          <w:tcPr>
            <w:tcW w:w="17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Excel (modern)</w:t>
            </w:r>
          </w:p>
        </w:tc>
        <w:tc>
          <w:tcPr>
            <w:tcW w:w="1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.xlsx</w:t>
            </w:r>
          </w:p>
        </w:tc>
        <w:tc>
          <w:tcPr>
            <w:tcW w:w="6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pandas read_excel via openpyxl engine; na_values applied</w:t>
            </w:r>
          </w:p>
        </w:tc>
      </w:tr>
      <w:tr>
        <w:trPr/>
        <w:tc>
          <w:tcPr>
            <w:tcW w:w="17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Excel (legacy)</w:t>
            </w:r>
          </w:p>
        </w:tc>
        <w:tc>
          <w:tcPr>
            <w:tcW w:w="1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.xls</w:t>
            </w:r>
          </w:p>
        </w:tc>
        <w:tc>
          <w:tcPr>
            <w:tcW w:w="6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pandas read_excel via xlrd engine</w:t>
            </w:r>
          </w:p>
        </w:tc>
      </w:tr>
      <w:tr>
        <w:trPr/>
        <w:tc>
          <w:tcPr>
            <w:tcW w:w="17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JSON</w:t>
            </w:r>
          </w:p>
        </w:tc>
        <w:tc>
          <w:tcPr>
            <w:tcW w:w="1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.json</w:t>
            </w:r>
          </w:p>
        </w:tc>
        <w:tc>
          <w:tcPr>
            <w:tcW w:w="6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json.load(); list → pd.DataFrame; dict → pd.json_normalize()</w:t>
            </w:r>
          </w:p>
        </w:tc>
      </w:tr>
    </w:tbl>
    <w:p>
      <w:pPr>
        <w:pStyle w:val="Normal"/>
        <w:spacing w:before="120" w:after="60"/>
        <w:rPr/>
      </w:pPr>
      <w:r>
        <w:rPr/>
      </w:r>
    </w:p>
    <w:p>
      <w:pPr>
        <w:pStyle w:val="Heading2"/>
        <w:spacing w:before="280" w:after="120"/>
        <w:rPr>
          <w:sz w:val="28"/>
          <w:szCs w:val="28"/>
        </w:rPr>
      </w:pPr>
      <w:r>
        <w:rPr>
          <w:rFonts w:eastAsia="Arial" w:cs="Arial" w:ascii="Arial" w:hAnsi="Arial"/>
          <w:b/>
          <w:bCs/>
          <w:color w:val="1E4DB7"/>
          <w:sz w:val="28"/>
          <w:szCs w:val="28"/>
        </w:rPr>
        <w:t>3.2  Missing Value Markers</w:t>
      </w:r>
    </w:p>
    <w:p>
      <w:pPr>
        <w:pStyle w:val="Normal"/>
        <w:spacing w:before="0" w:after="120"/>
        <w:jc w:val="start"/>
        <w:rPr>
          <w:sz w:val="28"/>
          <w:szCs w:val="28"/>
        </w:rPr>
      </w:pPr>
      <w:r>
        <w:rPr>
          <w:rFonts w:eastAsia="Arial" w:cs="Arial"/>
          <w:b w:val="false"/>
          <w:bCs w:val="false"/>
          <w:i w:val="false"/>
          <w:iCs w:val="false"/>
          <w:color w:val="1C2A4A"/>
          <w:sz w:val="28"/>
          <w:szCs w:val="28"/>
        </w:rPr>
        <w:t>The following strings are treated as missing (NaN) during ingestion, in addition to pandas defaults:</w:t>
      </w:r>
    </w:p>
    <w:p>
      <w:pPr>
        <w:pStyle w:val="Normal"/>
        <w:spacing w:before="40" w:after="40"/>
        <w:rPr>
          <w:sz w:val="28"/>
          <w:szCs w:val="28"/>
        </w:rPr>
      </w:pPr>
      <w:r>
        <w:rPr>
          <w:sz w:val="28"/>
          <w:szCs w:val="28"/>
        </w:rPr>
      </w:r>
    </w:p>
    <w:p>
      <w:pPr>
        <w:pStyle w:val="Normal"/>
        <w:shd w:val="clear" w:fill="EEF2FF"/>
        <w:spacing w:before="60" w:after="60"/>
        <w:rPr>
          <w:sz w:val="28"/>
          <w:szCs w:val="28"/>
        </w:rPr>
      </w:pPr>
      <w:r>
        <w:rPr>
          <w:rFonts w:eastAsia="Courier New" w:cs="Courier New" w:ascii="Courier New" w:hAnsi="Courier New"/>
          <w:color w:val="0B1A3E"/>
          <w:sz w:val="28"/>
          <w:szCs w:val="28"/>
        </w:rPr>
        <w:t>'', 'null', 'NULL', 'none', 'None', 'NONE', 'na', 'NA', 'N/A', 'n/a', 'NaN', 'nan', '#N/A', '-', '--', '?', 'missing', 'MISSING'</w:t>
      </w:r>
    </w:p>
    <w:p>
      <w:pPr>
        <w:pStyle w:val="Normal"/>
        <w:spacing w:before="100" w:after="60"/>
        <w:rPr/>
      </w:pPr>
      <w:r>
        <w:rPr/>
      </w:r>
    </w:p>
    <w:p>
      <w:pPr>
        <w:pStyle w:val="Heading2"/>
        <w:spacing w:before="280" w:after="120"/>
        <w:rPr>
          <w:sz w:val="28"/>
          <w:szCs w:val="28"/>
        </w:rPr>
      </w:pPr>
      <w:r>
        <w:rPr>
          <w:rFonts w:eastAsia="Arial" w:cs="Arial" w:ascii="Arial" w:hAnsi="Arial"/>
          <w:b/>
          <w:bCs/>
          <w:color w:val="1E4DB7"/>
          <w:sz w:val="28"/>
          <w:szCs w:val="28"/>
        </w:rPr>
        <w:t>3.3  File Upload &amp; Session State</w:t>
      </w:r>
    </w:p>
    <w:p>
      <w:pPr>
        <w:pStyle w:val="Normal"/>
        <w:spacing w:before="0" w:after="120"/>
        <w:jc w:val="start"/>
        <w:rPr>
          <w:sz w:val="28"/>
          <w:szCs w:val="28"/>
        </w:rPr>
      </w:pPr>
      <w:r>
        <w:rPr>
          <w:rFonts w:eastAsia="Arial" w:cs="Arial"/>
          <w:b w:val="false"/>
          <w:bCs w:val="false"/>
          <w:i w:val="false"/>
          <w:iCs w:val="false"/>
          <w:color w:val="1C2A4A"/>
          <w:sz w:val="28"/>
          <w:szCs w:val="28"/>
        </w:rPr>
        <w:t>A shared file uploader sits above both tabs. The uploaded file object (UploadedFile) is passed to both render functions. To prevent the "No columns to parse from file" error that occurs when the file stream cursor is exhausted after Tab 1 reads it, uploaded.seek(0) is called immediately before every call to load_data().</w:t>
      </w:r>
    </w:p>
    <w:p>
      <w:pPr>
        <w:pStyle w:val="Normal"/>
        <w:spacing w:before="60" w:after="60"/>
        <w:rPr>
          <w:sz w:val="28"/>
          <w:szCs w:val="28"/>
        </w:rPr>
      </w:pPr>
      <w:r>
        <w:rPr>
          <w:sz w:val="28"/>
          <w:szCs w:val="28"/>
        </w:rPr>
      </w:r>
    </w:p>
    <w:p>
      <w:pPr>
        <w:pStyle w:val="Normal"/>
        <w:spacing w:before="0" w:after="120"/>
        <w:jc w:val="start"/>
        <w:rPr>
          <w:sz w:val="28"/>
          <w:szCs w:val="28"/>
        </w:rPr>
      </w:pPr>
      <w:r>
        <w:rPr>
          <w:rFonts w:eastAsia="Arial" w:cs="Arial"/>
          <w:b w:val="false"/>
          <w:bCs w:val="false"/>
          <w:i w:val="false"/>
          <w:iCs w:val="false"/>
          <w:color w:val="1C2A4A"/>
          <w:sz w:val="28"/>
          <w:szCs w:val="28"/>
        </w:rPr>
        <w:t>For the Data Preparation tab, the loaded DataFrame is cached in st.session_state under a key composed of the filename and file size (prep_df_{name}_{size}). This ensures:</w:t>
      </w:r>
    </w:p>
    <w:p>
      <w:pPr>
        <w:pStyle w:val="ListParagraph"/>
        <w:numPr>
          <w:ilvl w:val="0"/>
          <w:numId w:val="9"/>
        </w:numPr>
        <w:spacing w:before="40" w:after="60"/>
        <w:rPr>
          <w:sz w:val="28"/>
          <w:szCs w:val="28"/>
        </w:rPr>
      </w:pPr>
      <w:r>
        <w:rPr>
          <w:rFonts w:eastAsia="Arial" w:cs="Arial"/>
          <w:color w:val="1C2A4A"/>
          <w:sz w:val="28"/>
          <w:szCs w:val="28"/>
        </w:rPr>
        <w:t>Preprocessing changes persist across Streamlit reruns within the same session.</w:t>
      </w:r>
    </w:p>
    <w:p>
      <w:pPr>
        <w:pStyle w:val="ListParagraph"/>
        <w:numPr>
          <w:ilvl w:val="0"/>
          <w:numId w:val="10"/>
        </w:numPr>
        <w:spacing w:before="40" w:after="60"/>
        <w:rPr>
          <w:sz w:val="28"/>
          <w:szCs w:val="28"/>
        </w:rPr>
      </w:pPr>
      <w:r>
        <w:rPr>
          <w:rFonts w:eastAsia="Arial" w:cs="Arial"/>
          <w:color w:val="1C2A4A"/>
          <w:sz w:val="28"/>
          <w:szCs w:val="28"/>
        </w:rPr>
        <w:t>Re-uploading a file with the same name but different content loads fresh data (size differentiates it).</w:t>
      </w:r>
    </w:p>
    <w:p>
      <w:pPr>
        <w:pStyle w:val="ListParagraph"/>
        <w:numPr>
          <w:ilvl w:val="0"/>
          <w:numId w:val="11"/>
        </w:numPr>
        <w:spacing w:before="40" w:after="60"/>
        <w:rPr/>
      </w:pPr>
      <w:r>
        <w:rPr>
          <w:rFonts w:eastAsia="Arial" w:cs="Arial"/>
          <w:color w:val="1C2A4A"/>
          <w:sz w:val="21"/>
          <w:szCs w:val="21"/>
        </w:rPr>
        <w:t>The Reset button restores the original file by seeking to byte 0 and re-running load_data().</w:t>
      </w:r>
    </w:p>
    <w:p>
      <w:pPr>
        <w:pStyle w:val="Normal"/>
        <w:spacing w:before="80" w:after="80"/>
        <w:rPr/>
      </w:pPr>
      <w:r>
        <w:rPr/>
      </w:r>
    </w:p>
    <w:p>
      <w:pPr>
        <w:pStyle w:val="Heading1"/>
        <w:pBdr>
          <w:bottom w:val="single" w:sz="8" w:space="4" w:color="1E4DB7"/>
        </w:pBdr>
        <w:spacing w:before="0" w:after="160"/>
        <w:rPr/>
      </w:pPr>
      <w:r>
        <w:rPr>
          <w:rFonts w:eastAsia="Arial" w:cs="Arial" w:ascii="Arial" w:hAnsi="Arial"/>
          <w:b/>
          <w:bCs/>
          <w:color w:val="0B1A3E"/>
          <w:sz w:val="32"/>
          <w:szCs w:val="32"/>
        </w:rPr>
        <w:t>4. Tab 1 — Data Quality Analyzer</w:t>
      </w:r>
    </w:p>
    <w:p>
      <w:pPr>
        <w:pStyle w:val="Normal"/>
        <w:spacing w:before="0" w:after="120"/>
        <w:jc w:val="start"/>
        <w:rPr>
          <w:sz w:val="28"/>
          <w:szCs w:val="28"/>
        </w:rPr>
      </w:pPr>
      <w:r>
        <w:rPr>
          <w:rFonts w:eastAsia="Arial" w:cs="Arial"/>
          <w:b w:val="false"/>
          <w:bCs w:val="false"/>
          <w:i w:val="false"/>
          <w:iCs w:val="false"/>
          <w:color w:val="1C2A4A"/>
          <w:sz w:val="28"/>
          <w:szCs w:val="28"/>
        </w:rPr>
        <w:t>The Data Quality Analyzer tab provides a fully automated, read-only audit of the uploaded dataset. It runs analyze_dataset() on each render and presents results across six visual sections.</w:t>
      </w:r>
    </w:p>
    <w:p>
      <w:pPr>
        <w:pStyle w:val="Normal"/>
        <w:spacing w:before="80" w:after="60"/>
        <w:rPr>
          <w:sz w:val="28"/>
          <w:szCs w:val="28"/>
        </w:rPr>
      </w:pPr>
      <w:r>
        <w:rPr>
          <w:sz w:val="28"/>
          <w:szCs w:val="28"/>
        </w:rPr>
      </w:r>
    </w:p>
    <w:p>
      <w:pPr>
        <w:pStyle w:val="Heading2"/>
        <w:spacing w:before="280" w:after="120"/>
        <w:rPr>
          <w:rFonts w:ascii="Arial" w:hAnsi="Arial" w:eastAsia="Arial" w:cs="Arial"/>
          <w:b/>
          <w:bCs/>
          <w:color w:val="1E4DB7"/>
        </w:rPr>
      </w:pPr>
      <w:r>
        <w:rPr>
          <w:rFonts w:eastAsia="Arial" w:cs="Arial"/>
          <w:b/>
          <w:bCs/>
          <w:color w:val="1E4DB7"/>
        </w:rPr>
      </w:r>
    </w:p>
    <w:p>
      <w:pPr>
        <w:pStyle w:val="Heading2"/>
        <w:spacing w:before="280" w:after="120"/>
        <w:rPr>
          <w:rFonts w:ascii="Arial" w:hAnsi="Arial" w:eastAsia="Arial" w:cs="Arial"/>
          <w:b/>
          <w:bCs/>
          <w:color w:val="1E4DB7"/>
        </w:rPr>
      </w:pPr>
      <w:r>
        <w:rPr>
          <w:rFonts w:eastAsia="Arial" w:cs="Arial"/>
          <w:b/>
          <w:bCs/>
          <w:color w:val="1E4DB7"/>
        </w:rPr>
      </w:r>
    </w:p>
    <w:p>
      <w:pPr>
        <w:pStyle w:val="Heading2"/>
        <w:spacing w:before="280" w:after="120"/>
        <w:rPr>
          <w:sz w:val="28"/>
          <w:szCs w:val="28"/>
        </w:rPr>
      </w:pPr>
      <w:r>
        <w:rPr>
          <w:rFonts w:eastAsia="Arial" w:cs="Arial" w:ascii="Arial" w:hAnsi="Arial"/>
          <w:b/>
          <w:bCs/>
          <w:color w:val="1E4DB7"/>
          <w:sz w:val="28"/>
          <w:szCs w:val="28"/>
        </w:rPr>
        <w:t>4.1  Quality Score &amp; Grade</w:t>
      </w:r>
    </w:p>
    <w:p>
      <w:pPr>
        <w:pStyle w:val="Normal"/>
        <w:spacing w:before="0" w:after="120"/>
        <w:jc w:val="start"/>
        <w:rPr/>
      </w:pPr>
      <w:r>
        <w:rPr>
          <w:rFonts w:eastAsia="Arial" w:cs="Arial"/>
          <w:b w:val="false"/>
          <w:bCs w:val="false"/>
          <w:i w:val="false"/>
          <w:iCs w:val="false"/>
          <w:color w:val="1C2A4A"/>
          <w:sz w:val="28"/>
          <w:szCs w:val="28"/>
        </w:rPr>
        <w:t>A composite 0–100 quality score is computed by subtracting penalty points from 100 across four dimensions:</w:t>
      </w:r>
    </w:p>
    <w:tbl>
      <w:tblPr>
        <w:tblW w:w="9360" w:type="dxa"/>
        <w:jc w:val="start"/>
        <w:tblInd w:w="0" w:type="dxa"/>
        <w:tblLayout w:type="fixed"/>
        <w:tblCellMar>
          <w:top w:w="80" w:type="dxa"/>
          <w:start w:w="140" w:type="dxa"/>
          <w:bottom w:w="80" w:type="dxa"/>
          <w:end w:w="140" w:type="dxa"/>
        </w:tblCellMar>
      </w:tblPr>
      <w:tblGrid>
        <w:gridCol w:w="2600"/>
        <w:gridCol w:w="3360"/>
        <w:gridCol w:w="3400"/>
      </w:tblGrid>
      <w:tr>
        <w:trPr/>
        <w:tc>
          <w:tcPr>
            <w:tcW w:w="26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2"/>
                <w:szCs w:val="32"/>
              </w:rPr>
            </w:pPr>
            <w:r>
              <w:rPr>
                <w:rFonts w:eastAsia="Arial" w:cs="Arial"/>
                <w:b/>
                <w:bCs/>
                <w:i w:val="false"/>
                <w:iCs w:val="false"/>
                <w:color w:val="FFFFFF"/>
                <w:sz w:val="32"/>
                <w:szCs w:val="32"/>
              </w:rPr>
              <w:t>Penalty Factor</w:t>
            </w:r>
          </w:p>
        </w:tc>
        <w:tc>
          <w:tcPr>
            <w:tcW w:w="33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2"/>
                <w:szCs w:val="32"/>
              </w:rPr>
            </w:pPr>
            <w:r>
              <w:rPr>
                <w:rFonts w:eastAsia="Arial" w:cs="Arial"/>
                <w:b/>
                <w:bCs/>
                <w:i w:val="false"/>
                <w:iCs w:val="false"/>
                <w:color w:val="FFFFFF"/>
                <w:sz w:val="32"/>
                <w:szCs w:val="32"/>
              </w:rPr>
              <w:t>Formula</w:t>
            </w:r>
          </w:p>
        </w:tc>
        <w:tc>
          <w:tcPr>
            <w:tcW w:w="34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2"/>
                <w:szCs w:val="32"/>
              </w:rPr>
            </w:pPr>
            <w:r>
              <w:rPr>
                <w:rFonts w:eastAsia="Arial" w:cs="Arial"/>
                <w:b/>
                <w:bCs/>
                <w:i w:val="false"/>
                <w:iCs w:val="false"/>
                <w:color w:val="FFFFFF"/>
                <w:sz w:val="32"/>
                <w:szCs w:val="32"/>
              </w:rPr>
              <w:t>Cap</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bCs/>
                <w:i w:val="false"/>
                <w:iCs w:val="false"/>
                <w:color w:val="1C2A4A"/>
                <w:sz w:val="32"/>
                <w:szCs w:val="32"/>
              </w:rPr>
              <w:t>Missing values</w:t>
            </w:r>
          </w:p>
        </w:tc>
        <w:tc>
          <w:tcPr>
            <w:tcW w:w="3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iCs/>
                <w:color w:val="1C2A4A"/>
                <w:sz w:val="32"/>
                <w:szCs w:val="32"/>
              </w:rPr>
              <w:t>(total_missing / total_cells) × 100 × 2</w:t>
            </w:r>
          </w:p>
        </w:tc>
        <w:tc>
          <w:tcPr>
            <w:tcW w:w="3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val="false"/>
                <w:iCs w:val="false"/>
                <w:color w:val="1C2A4A"/>
                <w:sz w:val="32"/>
                <w:szCs w:val="32"/>
              </w:rPr>
              <w:t>40 points max</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bCs/>
                <w:i w:val="false"/>
                <w:iCs w:val="false"/>
                <w:color w:val="1C2A4A"/>
                <w:sz w:val="32"/>
                <w:szCs w:val="32"/>
              </w:rPr>
              <w:t>Duplicate rows</w:t>
            </w:r>
          </w:p>
        </w:tc>
        <w:tc>
          <w:tcPr>
            <w:tcW w:w="3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iCs/>
                <w:color w:val="1C2A4A"/>
                <w:sz w:val="32"/>
                <w:szCs w:val="32"/>
              </w:rPr>
              <w:t>(dup_count / n_rows) × 100 × 1.5</w:t>
            </w:r>
          </w:p>
        </w:tc>
        <w:tc>
          <w:tcPr>
            <w:tcW w:w="3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val="false"/>
                <w:iCs w:val="false"/>
                <w:color w:val="1C2A4A"/>
                <w:sz w:val="32"/>
                <w:szCs w:val="32"/>
              </w:rPr>
              <w:t>20 points max</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bCs/>
                <w:i w:val="false"/>
                <w:iCs w:val="false"/>
                <w:color w:val="1C2A4A"/>
                <w:sz w:val="32"/>
                <w:szCs w:val="32"/>
              </w:rPr>
              <w:t>Outliers (IQR)</w:t>
            </w:r>
          </w:p>
        </w:tc>
        <w:tc>
          <w:tcPr>
            <w:tcW w:w="3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iCs/>
                <w:color w:val="1C2A4A"/>
                <w:sz w:val="32"/>
                <w:szCs w:val="32"/>
              </w:rPr>
              <w:t>(total_outliers / total_cells) × 100 × 3</w:t>
            </w:r>
          </w:p>
        </w:tc>
        <w:tc>
          <w:tcPr>
            <w:tcW w:w="3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val="false"/>
                <w:iCs w:val="false"/>
                <w:color w:val="1C2A4A"/>
                <w:sz w:val="32"/>
                <w:szCs w:val="32"/>
              </w:rPr>
              <w:t>20 points max</w:t>
            </w:r>
          </w:p>
        </w:tc>
      </w:tr>
      <w:tr>
        <w:trPr/>
        <w:tc>
          <w:tcPr>
            <w:tcW w:w="2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bCs/>
                <w:i w:val="false"/>
                <w:iCs w:val="false"/>
                <w:color w:val="1C2A4A"/>
                <w:sz w:val="32"/>
                <w:szCs w:val="32"/>
              </w:rPr>
              <w:t>Type inconsistencies</w:t>
            </w:r>
          </w:p>
        </w:tc>
        <w:tc>
          <w:tcPr>
            <w:tcW w:w="3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iCs/>
                <w:color w:val="1C2A4A"/>
                <w:sz w:val="32"/>
                <w:szCs w:val="32"/>
              </w:rPr>
              <w:t>(total_type_issues / total_cells) × 100 × 3</w:t>
            </w:r>
          </w:p>
        </w:tc>
        <w:tc>
          <w:tcPr>
            <w:tcW w:w="3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2"/>
                <w:szCs w:val="32"/>
              </w:rPr>
            </w:pPr>
            <w:r>
              <w:rPr>
                <w:rFonts w:eastAsia="Arial" w:cs="Arial"/>
                <w:b w:val="false"/>
                <w:bCs w:val="false"/>
                <w:i w:val="false"/>
                <w:iCs w:val="false"/>
                <w:color w:val="1C2A4A"/>
                <w:sz w:val="32"/>
                <w:szCs w:val="32"/>
              </w:rPr>
              <w:t>20 points max</w:t>
            </w:r>
          </w:p>
        </w:tc>
      </w:tr>
    </w:tbl>
    <w:p>
      <w:pPr>
        <w:pStyle w:val="Normal"/>
        <w:spacing w:before="0" w:after="120"/>
        <w:jc w:val="start"/>
        <w:rPr>
          <w:rFonts w:ascii="Arial" w:hAnsi="Arial" w:eastAsia="Arial" w:cs="Arial"/>
          <w:b w:val="false"/>
          <w:bCs w:val="false"/>
          <w:i w:val="false"/>
          <w:i w:val="false"/>
          <w:iCs w:val="false"/>
          <w:color w:val="1C2A4A"/>
          <w:sz w:val="22"/>
          <w:szCs w:val="22"/>
        </w:rPr>
      </w:pPr>
      <w:r>
        <w:rPr>
          <w:rFonts w:eastAsia="Arial" w:cs="Arial"/>
          <w:b w:val="false"/>
          <w:bCs w:val="false"/>
          <w:i w:val="false"/>
          <w:iCs w:val="false"/>
          <w:color w:val="1C2A4A"/>
          <w:sz w:val="22"/>
          <w:szCs w:val="22"/>
        </w:rPr>
      </w:r>
    </w:p>
    <w:p>
      <w:pPr>
        <w:pStyle w:val="Normal"/>
        <w:spacing w:before="0" w:after="120"/>
        <w:jc w:val="start"/>
        <w:rPr/>
      </w:pPr>
      <w:r>
        <w:rPr>
          <w:rFonts w:eastAsia="Arial" w:cs="Arial"/>
          <w:b w:val="false"/>
          <w:bCs w:val="false"/>
          <w:i w:val="false"/>
          <w:iCs w:val="false"/>
          <w:color w:val="1C2A4A"/>
          <w:sz w:val="22"/>
          <w:szCs w:val="22"/>
        </w:rPr>
        <w:t>Scores map to letter grades: A (80–100, Good), B (55–79, Fair), C (0–54, Poor). A Plotly gauge chart visualizes the score with color-coded zones (green / amber / red).</w:t>
      </w:r>
    </w:p>
    <w:p>
      <w:pPr>
        <w:pStyle w:val="Heading2"/>
        <w:spacing w:before="280" w:after="120"/>
        <w:rPr/>
      </w:pPr>
      <w:r>
        <w:rPr>
          <w:rFonts w:eastAsia="Arial" w:cs="Arial" w:ascii="Arial" w:hAnsi="Arial"/>
          <w:b/>
          <w:bCs/>
          <w:color w:val="1E4DB7"/>
          <w:sz w:val="26"/>
          <w:szCs w:val="26"/>
        </w:rPr>
        <w:t>4.2  Column Type Inference (infer_col_type)</w:t>
      </w:r>
    </w:p>
    <w:p>
      <w:pPr>
        <w:pStyle w:val="Normal"/>
        <w:spacing w:before="0" w:after="120"/>
        <w:jc w:val="start"/>
        <w:rPr/>
      </w:pPr>
      <w:r>
        <w:rPr>
          <w:rFonts w:eastAsia="Arial" w:cs="Arial"/>
          <w:b w:val="false"/>
          <w:bCs w:val="false"/>
          <w:i w:val="false"/>
          <w:iCs w:val="false"/>
          <w:color w:val="1C2A4A"/>
          <w:sz w:val="22"/>
          <w:szCs w:val="22"/>
        </w:rPr>
        <w:t>Each column is classified into one of five semantic types:</w:t>
      </w:r>
    </w:p>
    <w:tbl>
      <w:tblPr>
        <w:tblW w:w="9360" w:type="dxa"/>
        <w:jc w:val="start"/>
        <w:tblInd w:w="0" w:type="dxa"/>
        <w:tblLayout w:type="fixed"/>
        <w:tblCellMar>
          <w:top w:w="80" w:type="dxa"/>
          <w:start w:w="140" w:type="dxa"/>
          <w:bottom w:w="80" w:type="dxa"/>
          <w:end w:w="140" w:type="dxa"/>
        </w:tblCellMar>
      </w:tblPr>
      <w:tblGrid>
        <w:gridCol w:w="2000"/>
        <w:gridCol w:w="7359"/>
      </w:tblGrid>
      <w:tr>
        <w:trPr/>
        <w:tc>
          <w:tcPr>
            <w:tcW w:w="20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Type</w:t>
            </w:r>
          </w:p>
        </w:tc>
        <w:tc>
          <w:tcPr>
            <w:tcW w:w="7359"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Detection Logic</w:t>
            </w:r>
          </w:p>
        </w:tc>
      </w:tr>
      <w:tr>
        <w:trPr/>
        <w:tc>
          <w:tcPr>
            <w:tcW w:w="2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datetime</w:t>
            </w:r>
          </w:p>
        </w:tc>
        <w:tc>
          <w:tcPr>
            <w:tcW w:w="735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Native datetime64 dtype OR &gt;70% of sampled string values match date regex patterns</w:t>
            </w:r>
          </w:p>
        </w:tc>
      </w:tr>
      <w:tr>
        <w:trPr/>
        <w:tc>
          <w:tcPr>
            <w:tcW w:w="2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numeric</w:t>
            </w:r>
          </w:p>
        </w:tc>
        <w:tc>
          <w:tcPr>
            <w:tcW w:w="735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Native numeric dtype OR &gt;85% of non-null values coercible to numeric via pd.to_numeric</w:t>
            </w:r>
          </w:p>
        </w:tc>
      </w:tr>
      <w:tr>
        <w:trPr/>
        <w:tc>
          <w:tcPr>
            <w:tcW w:w="2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categorical</w:t>
            </w:r>
          </w:p>
        </w:tc>
        <w:tc>
          <w:tcPr>
            <w:tcW w:w="735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Object dtype with unique ratio &lt;40% AND unique count ≤50</w:t>
            </w:r>
          </w:p>
        </w:tc>
      </w:tr>
      <w:tr>
        <w:trPr/>
        <w:tc>
          <w:tcPr>
            <w:tcW w:w="2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text</w:t>
            </w:r>
          </w:p>
        </w:tc>
        <w:tc>
          <w:tcPr>
            <w:tcW w:w="735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Object dtype that does not meet categorical thresholds (high cardinality free text)</w:t>
            </w:r>
          </w:p>
        </w:tc>
      </w:tr>
      <w:tr>
        <w:trPr/>
        <w:tc>
          <w:tcPr>
            <w:tcW w:w="200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empty</w:t>
            </w:r>
          </w:p>
        </w:tc>
        <w:tc>
          <w:tcPr>
            <w:tcW w:w="735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Column has zero non-null values</w:t>
            </w:r>
          </w:p>
        </w:tc>
      </w:tr>
    </w:tbl>
    <w:p>
      <w:pPr>
        <w:pStyle w:val="Normal"/>
        <w:spacing w:before="80" w:after="60"/>
        <w:rPr/>
      </w:pPr>
      <w:r>
        <w:rPr/>
      </w:r>
    </w:p>
    <w:p>
      <w:pPr>
        <w:pStyle w:val="Heading2"/>
        <w:spacing w:before="280" w:after="120"/>
        <w:rPr>
          <w:sz w:val="28"/>
          <w:szCs w:val="28"/>
        </w:rPr>
      </w:pPr>
      <w:r>
        <w:rPr>
          <w:rFonts w:eastAsia="Arial" w:cs="Arial" w:ascii="Arial" w:hAnsi="Arial"/>
          <w:b/>
          <w:bCs/>
          <w:color w:val="1E4DB7"/>
          <w:sz w:val="28"/>
          <w:szCs w:val="28"/>
        </w:rPr>
        <w:t>4.3  Outlier Detection</w:t>
      </w:r>
    </w:p>
    <w:p>
      <w:pPr>
        <w:pStyle w:val="Heading3"/>
        <w:spacing w:before="200" w:after="80"/>
        <w:rPr>
          <w:sz w:val="28"/>
          <w:szCs w:val="28"/>
        </w:rPr>
      </w:pPr>
      <w:r>
        <w:rPr>
          <w:rFonts w:eastAsia="Arial" w:cs="Arial" w:ascii="Arial" w:hAnsi="Arial"/>
          <w:b/>
          <w:bCs/>
          <w:color w:val="1A2235"/>
          <w:sz w:val="28"/>
          <w:szCs w:val="28"/>
        </w:rPr>
        <w:t>IQR Method</w:t>
      </w:r>
    </w:p>
    <w:p>
      <w:pPr>
        <w:pStyle w:val="Normal"/>
        <w:spacing w:before="0" w:after="120"/>
        <w:jc w:val="start"/>
        <w:rPr>
          <w:sz w:val="28"/>
          <w:szCs w:val="28"/>
        </w:rPr>
      </w:pPr>
      <w:r>
        <w:rPr>
          <w:rFonts w:eastAsia="Arial" w:cs="Arial"/>
          <w:b w:val="false"/>
          <w:bCs w:val="false"/>
          <w:i w:val="false"/>
          <w:iCs w:val="false"/>
          <w:color w:val="1C2A4A"/>
          <w:sz w:val="28"/>
          <w:szCs w:val="28"/>
        </w:rPr>
        <w:t>For each numeric column, the interquartile range (IQR = Q3 − Q1) is computed. Values below Q1 − 1.5×IQR or above Q3 + 1.5×IQR are flagged as outliers. IQR bounds are stored and reused to highlight faulty rows. Columns with fewer than 4 values or IQR = 0 are skipped.</w:t>
      </w:r>
    </w:p>
    <w:p>
      <w:pPr>
        <w:pStyle w:val="Normal"/>
        <w:spacing w:before="60" w:after="40"/>
        <w:rPr>
          <w:sz w:val="28"/>
          <w:szCs w:val="28"/>
        </w:rPr>
      </w:pPr>
      <w:r>
        <w:rPr>
          <w:sz w:val="28"/>
          <w:szCs w:val="28"/>
        </w:rPr>
      </w:r>
    </w:p>
    <w:p>
      <w:pPr>
        <w:pStyle w:val="Heading3"/>
        <w:spacing w:before="200" w:after="80"/>
        <w:rPr>
          <w:sz w:val="28"/>
          <w:szCs w:val="28"/>
        </w:rPr>
      </w:pPr>
      <w:r>
        <w:rPr>
          <w:rFonts w:eastAsia="Arial" w:cs="Arial" w:ascii="Arial" w:hAnsi="Arial"/>
          <w:b/>
          <w:bCs/>
          <w:color w:val="1A2235"/>
          <w:sz w:val="28"/>
          <w:szCs w:val="28"/>
        </w:rPr>
        <w:t>Z-Score Method</w:t>
      </w:r>
    </w:p>
    <w:p>
      <w:pPr>
        <w:pStyle w:val="Normal"/>
        <w:spacing w:before="0" w:after="120"/>
        <w:jc w:val="start"/>
        <w:rPr>
          <w:sz w:val="28"/>
          <w:szCs w:val="28"/>
        </w:rPr>
      </w:pPr>
      <w:r>
        <w:rPr>
          <w:rFonts w:eastAsia="Arial" w:cs="Arial"/>
          <w:b w:val="false"/>
          <w:bCs w:val="false"/>
          <w:i w:val="false"/>
          <w:iCs w:val="false"/>
          <w:color w:val="1C2A4A"/>
          <w:sz w:val="28"/>
          <w:szCs w:val="28"/>
        </w:rPr>
        <w:t>A second count is derived via scipy.stats.zscore. Values with |z| &gt; 3 are counted as outliers. The Z-score count is surfaced in the column profile table for reference but is not used in the main quality score.</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4.4  Type Inconsistency Detection</w:t>
      </w:r>
    </w:p>
    <w:p>
      <w:pPr>
        <w:pStyle w:val="Normal"/>
        <w:spacing w:before="0" w:after="120"/>
        <w:jc w:val="start"/>
        <w:rPr>
          <w:sz w:val="28"/>
          <w:szCs w:val="28"/>
        </w:rPr>
      </w:pPr>
      <w:r>
        <w:rPr>
          <w:rFonts w:eastAsia="Arial" w:cs="Arial"/>
          <w:b w:val="false"/>
          <w:bCs w:val="false"/>
          <w:i w:val="false"/>
          <w:iCs w:val="false"/>
          <w:color w:val="1C2A4A"/>
          <w:sz w:val="28"/>
          <w:szCs w:val="28"/>
        </w:rPr>
        <w:t>For each column inferred as numeric, categorical, or text, a regex test checks whether each non-null string value matches a numeric pattern (^-?\d+(\.\d+)?([eE][+-]?\d+)?$). If both numeric and non-numeric values appear in meaningful proportion (minority/majority &gt; 5%), the minority count is reported as type_issues. This catches columns like an "age" field that was accidentally populated with text labels.</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4.5  KPI Summary Cards</w:t>
      </w:r>
    </w:p>
    <w:p>
      <w:pPr>
        <w:pStyle w:val="Normal"/>
        <w:spacing w:before="0" w:after="120"/>
        <w:jc w:val="start"/>
        <w:rPr>
          <w:sz w:val="28"/>
          <w:szCs w:val="28"/>
        </w:rPr>
      </w:pPr>
      <w:r>
        <w:rPr>
          <w:rFonts w:eastAsia="Arial" w:cs="Arial"/>
          <w:b w:val="false"/>
          <w:bCs w:val="false"/>
          <w:i w:val="false"/>
          <w:iCs w:val="false"/>
          <w:color w:val="1C2A4A"/>
          <w:sz w:val="28"/>
          <w:szCs w:val="28"/>
        </w:rPr>
        <w:t>Six KPI cards are rendered at the top of Tab 1 showing: Rows, Columns, Missing Cells (%), Duplicate Rows, Outliers (IQR), and Quality Score. Each card uses color-coded badges (Good / Warning / Critical) based on thresholds.</w:t>
      </w:r>
    </w:p>
    <w:p>
      <w:pPr>
        <w:pStyle w:val="Normal"/>
        <w:spacing w:before="80" w:after="60"/>
        <w:rPr/>
      </w:pPr>
      <w:r>
        <w:rPr/>
      </w:r>
    </w:p>
    <w:p>
      <w:pPr>
        <w:pStyle w:val="Heading2"/>
        <w:spacing w:before="280" w:after="120"/>
        <w:rPr/>
      </w:pPr>
      <w:r>
        <w:rPr>
          <w:rFonts w:eastAsia="Arial" w:cs="Arial" w:ascii="Arial" w:hAnsi="Arial"/>
          <w:b/>
          <w:bCs/>
          <w:color w:val="1E4DB7"/>
          <w:sz w:val="26"/>
          <w:szCs w:val="26"/>
        </w:rPr>
        <w:t>4.6  Visualizations</w:t>
      </w:r>
    </w:p>
    <w:tbl>
      <w:tblPr>
        <w:tblW w:w="9360" w:type="dxa"/>
        <w:jc w:val="start"/>
        <w:tblInd w:w="0" w:type="dxa"/>
        <w:tblLayout w:type="fixed"/>
        <w:tblCellMar>
          <w:top w:w="80" w:type="dxa"/>
          <w:start w:w="140" w:type="dxa"/>
          <w:bottom w:w="80" w:type="dxa"/>
          <w:end w:w="140" w:type="dxa"/>
        </w:tblCellMar>
      </w:tblPr>
      <w:tblGrid>
        <w:gridCol w:w="2998"/>
        <w:gridCol w:w="6361"/>
      </w:tblGrid>
      <w:tr>
        <w:trPr/>
        <w:tc>
          <w:tcPr>
            <w:tcW w:w="299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Chart</w:t>
            </w:r>
          </w:p>
        </w:tc>
        <w:tc>
          <w:tcPr>
            <w:tcW w:w="6361"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Description</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Score Gauge</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Plotly Indicator gauge showing 0–100 quality score with green/amber/red zones and a threshold marker</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Missing Values Bar</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Horizontal bar chart of % missing per column, sorted descending; red &gt;50%, amber &gt;20%, blue otherwise</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Column Completeness</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Bar chart showing 100 − %missing for up to 20 columns; green ≥90%, amber ≥70%, red below</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Issue Donut</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Donut pie chart breaking down total issue count by category (missing/duplicates/outliers/type issues)</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Type Distribution Pie</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Pie chart of column semantic type distribution (numeric/categorical/datetime/text/empty)</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Outlier Bar</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Bar chart of IQR outlier count per numeric column, sorted descending</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Correlation Heatmap</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Annotated Plotly Heatmap for up to 15 numeric columns using blue-red diverging colorscale (−1 to +1)</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Distribution Histogram</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Per-column histogram with 30 bins; IQR low/high bounds shown as red dashed vertical lines</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Categorical Bar</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Horizontal bar chart of top-8 value counts for a selected categorical column with % labels</w:t>
            </w:r>
          </w:p>
        </w:tc>
      </w:tr>
    </w:tbl>
    <w:p>
      <w:pPr>
        <w:pStyle w:val="Normal"/>
        <w:spacing w:before="80" w:after="60"/>
        <w:rPr/>
      </w:pPr>
      <w:r>
        <w:rPr/>
      </w:r>
    </w:p>
    <w:p>
      <w:pPr>
        <w:pStyle w:val="Heading2"/>
        <w:spacing w:before="280" w:after="120"/>
        <w:rPr>
          <w:rFonts w:ascii="Arial" w:hAnsi="Arial" w:eastAsia="Arial" w:cs="Arial"/>
          <w:b/>
          <w:bCs/>
          <w:color w:val="1E4DB7"/>
        </w:rPr>
      </w:pPr>
      <w:r>
        <w:rPr>
          <w:rFonts w:eastAsia="Arial" w:cs="Arial"/>
          <w:b/>
          <w:bCs/>
          <w:color w:val="1E4DB7"/>
        </w:rPr>
      </w:r>
    </w:p>
    <w:p>
      <w:pPr>
        <w:pStyle w:val="Heading2"/>
        <w:spacing w:before="280" w:after="120"/>
        <w:rPr>
          <w:sz w:val="28"/>
          <w:szCs w:val="28"/>
        </w:rPr>
      </w:pPr>
      <w:r>
        <w:rPr>
          <w:rFonts w:eastAsia="Arial" w:cs="Arial" w:ascii="Arial" w:hAnsi="Arial"/>
          <w:b/>
          <w:bCs/>
          <w:color w:val="1E4DB7"/>
          <w:sz w:val="28"/>
          <w:szCs w:val="28"/>
        </w:rPr>
        <w:t>4.7  Column Profile Table</w:t>
      </w:r>
    </w:p>
    <w:p>
      <w:pPr>
        <w:pStyle w:val="Normal"/>
        <w:spacing w:before="0" w:after="120"/>
        <w:jc w:val="start"/>
        <w:rPr>
          <w:sz w:val="28"/>
          <w:szCs w:val="28"/>
        </w:rPr>
      </w:pPr>
      <w:r>
        <w:rPr>
          <w:rFonts w:eastAsia="Arial" w:cs="Arial"/>
          <w:b w:val="false"/>
          <w:bCs w:val="false"/>
          <w:i w:val="false"/>
          <w:iCs w:val="false"/>
          <w:color w:val="1C2A4A"/>
          <w:sz w:val="28"/>
          <w:szCs w:val="28"/>
        </w:rPr>
        <w:t>An expandable full-width table lists every column with: inferred type, missing count + %, unique count + %, IQR outlier count, Z-score outlier count, type inconsistency count, and numeric statistics (mean, median, std, min, max, skewness) for numeric columns.</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4.8  Issues Found Panel</w:t>
      </w:r>
    </w:p>
    <w:p>
      <w:pPr>
        <w:pStyle w:val="Normal"/>
        <w:spacing w:before="0" w:after="120"/>
        <w:jc w:val="start"/>
        <w:rPr>
          <w:sz w:val="28"/>
          <w:szCs w:val="28"/>
        </w:rPr>
      </w:pPr>
      <w:r>
        <w:rPr>
          <w:rFonts w:eastAsia="Arial" w:cs="Arial"/>
          <w:b w:val="false"/>
          <w:bCs w:val="false"/>
          <w:i w:val="false"/>
          <w:iCs w:val="false"/>
          <w:color w:val="1C2A4A"/>
          <w:sz w:val="28"/>
          <w:szCs w:val="28"/>
        </w:rPr>
        <w:t>Color-coded issue cards (critical / warning / info / ok) summarize each problem category. Each card shows an icon, title, description of affected columns, and a recommended code fix.</w:t>
      </w:r>
    </w:p>
    <w:p>
      <w:pPr>
        <w:pStyle w:val="Normal"/>
        <w:spacing w:before="80" w:after="60"/>
        <w:rPr/>
      </w:pPr>
      <w:r>
        <w:rPr/>
      </w:r>
    </w:p>
    <w:p>
      <w:pPr>
        <w:pStyle w:val="Heading2"/>
        <w:spacing w:before="280" w:after="120"/>
        <w:rPr>
          <w:sz w:val="28"/>
          <w:szCs w:val="28"/>
        </w:rPr>
      </w:pPr>
      <w:r>
        <w:rPr>
          <w:rFonts w:eastAsia="Arial" w:cs="Arial" w:ascii="Arial" w:hAnsi="Arial"/>
          <w:b/>
          <w:bCs/>
          <w:color w:val="1E4DB7"/>
          <w:sz w:val="28"/>
          <w:szCs w:val="28"/>
        </w:rPr>
        <w:t>4.9  Faulty Rows Sample</w:t>
      </w:r>
    </w:p>
    <w:p>
      <w:pPr>
        <w:pStyle w:val="Normal"/>
        <w:spacing w:before="0" w:after="120"/>
        <w:jc w:val="start"/>
        <w:rPr>
          <w:sz w:val="28"/>
          <w:szCs w:val="28"/>
        </w:rPr>
      </w:pPr>
      <w:r>
        <w:rPr>
          <w:rFonts w:eastAsia="Arial" w:cs="Arial"/>
          <w:b w:val="false"/>
          <w:bCs w:val="false"/>
          <w:i w:val="false"/>
          <w:iCs w:val="false"/>
          <w:color w:val="1C2A4A"/>
          <w:sz w:val="28"/>
          <w:szCs w:val="28"/>
        </w:rPr>
        <w:t>get_faulty_rows() traverses every column and flags rows with missing values, IQR outliers, or type inconsistencies, plus all duplicate rows. Up to 200 flagged rows are collected; the first 50 are displayed in a color-highlighted DataFrame where each issue type gets a distinct background color (red / amber / purple / blue). The full set of up to 200 rows is available for download as CSV.</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4.10  Preprocessing Recommendations</w:t>
      </w:r>
    </w:p>
    <w:p>
      <w:pPr>
        <w:pStyle w:val="Normal"/>
        <w:spacing w:before="0" w:after="120"/>
        <w:jc w:val="start"/>
        <w:rPr>
          <w:sz w:val="28"/>
          <w:szCs w:val="28"/>
        </w:rPr>
      </w:pPr>
      <w:r>
        <w:rPr>
          <w:rFonts w:eastAsia="Arial" w:cs="Arial"/>
          <w:b w:val="false"/>
          <w:bCs w:val="false"/>
          <w:i w:val="false"/>
          <w:iCs w:val="false"/>
          <w:color w:val="1C2A4A"/>
          <w:sz w:val="28"/>
          <w:szCs w:val="28"/>
        </w:rPr>
        <w:t>build_recommendations() generates actionable recommendation cards based on detected issues. Each card includes a numbered label, title, detailed description with specific column names, and a relevant code tag (e.g., sklearn.impute / pandas.fillna). Cards are always generated for: missing values, duplicates, outliers, type issues, constant columns, high-correlation pairs, normalization/encoding, and domain validation.</w:t>
      </w:r>
    </w:p>
    <w:p>
      <w:pPr>
        <w:pStyle w:val="Normal"/>
        <w:spacing w:before="80" w:after="60"/>
        <w:rPr/>
      </w:pPr>
      <w:r>
        <w:rPr/>
      </w:r>
    </w:p>
    <w:p>
      <w:pPr>
        <w:pStyle w:val="Heading2"/>
        <w:spacing w:before="280" w:after="120"/>
        <w:rPr>
          <w:rFonts w:ascii="Arial" w:hAnsi="Arial" w:eastAsia="Arial" w:cs="Arial"/>
          <w:b/>
          <w:bCs/>
          <w:color w:val="1E4DB7"/>
          <w:sz w:val="26"/>
          <w:szCs w:val="26"/>
        </w:rPr>
      </w:pPr>
      <w:r>
        <w:rPr>
          <w:rFonts w:eastAsia="Arial" w:cs="Arial"/>
          <w:b/>
          <w:bCs/>
          <w:color w:val="1E4DB7"/>
          <w:sz w:val="26"/>
          <w:szCs w:val="26"/>
        </w:rPr>
      </w:r>
    </w:p>
    <w:p>
      <w:pPr>
        <w:pStyle w:val="Heading2"/>
        <w:spacing w:before="280" w:after="120"/>
        <w:rPr>
          <w:rFonts w:ascii="Arial" w:hAnsi="Arial" w:eastAsia="Arial" w:cs="Arial"/>
          <w:b/>
          <w:bCs/>
          <w:color w:val="1E4DB7"/>
          <w:sz w:val="26"/>
          <w:szCs w:val="26"/>
        </w:rPr>
      </w:pPr>
      <w:r>
        <w:rPr>
          <w:rFonts w:eastAsia="Arial" w:cs="Arial"/>
          <w:b/>
          <w:bCs/>
          <w:color w:val="1E4DB7"/>
          <w:sz w:val="26"/>
          <w:szCs w:val="26"/>
        </w:rPr>
      </w:r>
    </w:p>
    <w:p>
      <w:pPr>
        <w:pStyle w:val="Heading2"/>
        <w:spacing w:before="280" w:after="120"/>
        <w:rPr/>
      </w:pPr>
      <w:r>
        <w:rPr>
          <w:rFonts w:eastAsia="Arial" w:cs="Arial" w:ascii="Arial" w:hAnsi="Arial"/>
          <w:b/>
          <w:bCs/>
          <w:color w:val="1E4DB7"/>
          <w:sz w:val="26"/>
          <w:szCs w:val="26"/>
        </w:rPr>
        <w:t>4.11  Export Options (Tab 1)</w:t>
      </w:r>
    </w:p>
    <w:tbl>
      <w:tblPr>
        <w:tblW w:w="9360" w:type="dxa"/>
        <w:jc w:val="start"/>
        <w:tblInd w:w="0" w:type="dxa"/>
        <w:tblLayout w:type="fixed"/>
        <w:tblCellMar>
          <w:top w:w="80" w:type="dxa"/>
          <w:start w:w="140" w:type="dxa"/>
          <w:bottom w:w="80" w:type="dxa"/>
          <w:end w:w="140" w:type="dxa"/>
        </w:tblCellMar>
      </w:tblPr>
      <w:tblGrid>
        <w:gridCol w:w="2998"/>
        <w:gridCol w:w="6361"/>
      </w:tblGrid>
      <w:tr>
        <w:trPr/>
        <w:tc>
          <w:tcPr>
            <w:tcW w:w="299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Export</w:t>
            </w:r>
          </w:p>
        </w:tc>
        <w:tc>
          <w:tcPr>
            <w:tcW w:w="6361"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Content</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Column Profile CSV</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Full per-column statistics table as a downloadable CSV</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Faulty Rows CSV</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All flagged rows (up to 200) with an Issues column describing each problem; only shown when faulty rows exist</w:t>
            </w:r>
          </w:p>
        </w:tc>
      </w:tr>
      <w:tr>
        <w:trPr/>
        <w:tc>
          <w:tcPr>
            <w:tcW w:w="2998"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Quality Summary JSON</w:t>
            </w:r>
          </w:p>
        </w:tc>
        <w:tc>
          <w:tcPr>
            <w:tcW w:w="6361"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Machine-readable summary: filename, timestamp, score, grade, row/col counts, all issue totals, constant cols, high-corr pairs, and per-column stats (excluding top values and num_stats)</w:t>
            </w:r>
          </w:p>
        </w:tc>
      </w:tr>
    </w:tbl>
    <w:p>
      <w:pPr>
        <w:pStyle w:val="Normal"/>
        <w:spacing w:before="100" w:after="80"/>
        <w:rPr/>
      </w:pPr>
      <w:r>
        <w:rPr/>
      </w:r>
    </w:p>
    <w:p>
      <w:pPr>
        <w:pStyle w:val="Heading1"/>
        <w:pBdr>
          <w:bottom w:val="single" w:sz="8" w:space="4" w:color="1E4DB7"/>
        </w:pBdr>
        <w:spacing w:before="0" w:after="160"/>
        <w:rPr/>
      </w:pPr>
      <w:r>
        <w:rPr>
          <w:rFonts w:eastAsia="Arial" w:cs="Arial" w:ascii="Arial" w:hAnsi="Arial"/>
          <w:b/>
          <w:bCs/>
          <w:color w:val="0B1A3E"/>
          <w:sz w:val="32"/>
          <w:szCs w:val="32"/>
        </w:rPr>
        <w:t>5. Tab 2 — Data Preparation</w:t>
      </w:r>
    </w:p>
    <w:p>
      <w:pPr>
        <w:pStyle w:val="Normal"/>
        <w:spacing w:before="0" w:after="120"/>
        <w:jc w:val="start"/>
        <w:rPr>
          <w:sz w:val="28"/>
          <w:szCs w:val="28"/>
        </w:rPr>
      </w:pPr>
      <w:r>
        <w:rPr>
          <w:rFonts w:eastAsia="Arial" w:cs="Arial"/>
          <w:b w:val="false"/>
          <w:bCs w:val="false"/>
          <w:i w:val="false"/>
          <w:iCs w:val="false"/>
          <w:color w:val="1C2A4A"/>
          <w:sz w:val="28"/>
          <w:szCs w:val="28"/>
        </w:rPr>
        <w:t>The Data Preparation tab provides a stateful, step-by-step preprocessing pipeline. All changes mutate the working DataFrame stored in session_state and are previewed live after each operation. The original data can be restored at any time via the Reset button.</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5.1  Current Data Preview &amp; Info</w:t>
      </w:r>
    </w:p>
    <w:p>
      <w:pPr>
        <w:pStyle w:val="Normal"/>
        <w:spacing w:before="0" w:after="120"/>
        <w:jc w:val="start"/>
        <w:rPr>
          <w:sz w:val="28"/>
          <w:szCs w:val="28"/>
        </w:rPr>
      </w:pPr>
      <w:r>
        <w:rPr>
          <w:rFonts w:eastAsia="Arial" w:cs="Arial"/>
          <w:b w:val="false"/>
          <w:bCs w:val="false"/>
          <w:i w:val="false"/>
          <w:iCs w:val="false"/>
          <w:color w:val="1C2A4A"/>
          <w:sz w:val="28"/>
          <w:szCs w:val="28"/>
        </w:rPr>
        <w:t>The top of the tab always shows the current working DataFrame (up to 250px height) and a column information table with: column name, pandas dtype, missing count, missing %, and unique count.</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5.2  Step 1 — Remove Duplicate Rows</w:t>
      </w:r>
    </w:p>
    <w:p>
      <w:pPr>
        <w:pStyle w:val="Normal"/>
        <w:spacing w:before="0" w:after="120"/>
        <w:jc w:val="start"/>
        <w:rPr>
          <w:sz w:val="28"/>
          <w:szCs w:val="28"/>
        </w:rPr>
      </w:pPr>
      <w:r>
        <w:rPr>
          <w:rFonts w:eastAsia="Arial" w:cs="Arial"/>
          <w:b w:val="false"/>
          <w:bCs w:val="false"/>
          <w:i w:val="false"/>
          <w:iCs w:val="false"/>
          <w:color w:val="1C2A4A"/>
          <w:sz w:val="28"/>
          <w:szCs w:val="28"/>
        </w:rPr>
        <w:t>The duplicate count is computed with df.duplicated().sum() cast to int (required for NumPy 2.x compatibility with Streamlit's disabled= parameter). A button removes all exact duplicates using df.drop_duplicates(). The count badge turns red if duplicates exist, green if none.</w:t>
      </w:r>
    </w:p>
    <w:p>
      <w:pPr>
        <w:pStyle w:val="Normal"/>
        <w:spacing w:before="80" w:after="60"/>
        <w:rPr>
          <w:sz w:val="28"/>
          <w:szCs w:val="28"/>
        </w:rPr>
      </w:pPr>
      <w:r>
        <w:rPr>
          <w:sz w:val="28"/>
          <w:szCs w:val="28"/>
        </w:rPr>
      </w:r>
    </w:p>
    <w:p>
      <w:pPr>
        <w:pStyle w:val="Heading2"/>
        <w:spacing w:before="280" w:after="120"/>
        <w:rPr>
          <w:sz w:val="28"/>
          <w:szCs w:val="28"/>
        </w:rPr>
      </w:pPr>
      <w:r>
        <w:rPr>
          <w:rFonts w:eastAsia="Arial" w:cs="Arial" w:ascii="Arial" w:hAnsi="Arial"/>
          <w:b/>
          <w:bCs/>
          <w:color w:val="1E4DB7"/>
          <w:sz w:val="28"/>
          <w:szCs w:val="28"/>
        </w:rPr>
        <w:t>5.3  Step 2 — Missing Value Handling</w:t>
      </w:r>
    </w:p>
    <w:p>
      <w:pPr>
        <w:pStyle w:val="Normal"/>
        <w:spacing w:before="0" w:after="120"/>
        <w:jc w:val="start"/>
        <w:rPr>
          <w:sz w:val="28"/>
          <w:szCs w:val="28"/>
        </w:rPr>
      </w:pPr>
      <w:r>
        <w:rPr>
          <w:rFonts w:eastAsia="Arial" w:cs="Arial"/>
          <w:b w:val="false"/>
          <w:bCs w:val="false"/>
          <w:i w:val="false"/>
          <w:iCs w:val="false"/>
          <w:color w:val="1C2A4A"/>
          <w:sz w:val="28"/>
          <w:szCs w:val="28"/>
        </w:rPr>
        <w:t>All columns with at least one missing value are listed. For each, the user selects one of five strategies:</w:t>
      </w:r>
    </w:p>
    <w:tbl>
      <w:tblPr>
        <w:tblW w:w="9360" w:type="dxa"/>
        <w:jc w:val="start"/>
        <w:tblInd w:w="0" w:type="dxa"/>
        <w:tblLayout w:type="fixed"/>
        <w:tblCellMar>
          <w:top w:w="80" w:type="dxa"/>
          <w:start w:w="140" w:type="dxa"/>
          <w:bottom w:w="80" w:type="dxa"/>
          <w:end w:w="140" w:type="dxa"/>
        </w:tblCellMar>
      </w:tblPr>
      <w:tblGrid>
        <w:gridCol w:w="2199"/>
        <w:gridCol w:w="7160"/>
      </w:tblGrid>
      <w:tr>
        <w:trPr/>
        <w:tc>
          <w:tcPr>
            <w:tcW w:w="2199"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Strategy</w:t>
            </w:r>
          </w:p>
        </w:tc>
        <w:tc>
          <w:tcPr>
            <w:tcW w:w="71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Behavior</w:t>
            </w:r>
          </w:p>
        </w:tc>
      </w:tr>
      <w:tr>
        <w:trPr/>
        <w:tc>
          <w:tcPr>
            <w:tcW w:w="21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None</w:t>
            </w:r>
          </w:p>
        </w:tc>
        <w:tc>
          <w:tcPr>
            <w:tcW w:w="71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No action taken for this column</w:t>
            </w:r>
          </w:p>
        </w:tc>
      </w:tr>
      <w:tr>
        <w:trPr/>
        <w:tc>
          <w:tcPr>
            <w:tcW w:w="21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Mean</w:t>
            </w:r>
          </w:p>
        </w:tc>
        <w:tc>
          <w:tcPr>
            <w:tcW w:w="71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fillna(mean) — only applied to non-object columns</w:t>
            </w:r>
          </w:p>
        </w:tc>
      </w:tr>
      <w:tr>
        <w:trPr/>
        <w:tc>
          <w:tcPr>
            <w:tcW w:w="21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Median</w:t>
            </w:r>
          </w:p>
        </w:tc>
        <w:tc>
          <w:tcPr>
            <w:tcW w:w="71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fillna(median) — only applied to non-object columns</w:t>
            </w:r>
          </w:p>
        </w:tc>
      </w:tr>
      <w:tr>
        <w:trPr/>
        <w:tc>
          <w:tcPr>
            <w:tcW w:w="21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Mode</w:t>
            </w:r>
          </w:p>
        </w:tc>
        <w:tc>
          <w:tcPr>
            <w:tcW w:w="71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fillna(mode()[0]) — works for any dtype</w:t>
            </w:r>
          </w:p>
        </w:tc>
      </w:tr>
      <w:tr>
        <w:trPr/>
        <w:tc>
          <w:tcPr>
            <w:tcW w:w="21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Drop Column</w:t>
            </w:r>
          </w:p>
        </w:tc>
        <w:tc>
          <w:tcPr>
            <w:tcW w:w="71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Removes the entire column from the working DataFrame</w:t>
            </w:r>
          </w:p>
        </w:tc>
      </w:tr>
    </w:tbl>
    <w:p>
      <w:pPr>
        <w:pStyle w:val="Normal"/>
        <w:spacing w:before="60" w:after="60"/>
        <w:rPr/>
      </w:pPr>
      <w:r>
        <w:rPr/>
      </w:r>
    </w:p>
    <w:p>
      <w:pPr>
        <w:pStyle w:val="Normal"/>
        <w:spacing w:before="0" w:after="120"/>
        <w:jc w:val="start"/>
        <w:rPr/>
      </w:pPr>
      <w:r>
        <w:rPr>
          <w:rFonts w:eastAsia="Arial" w:cs="Arial"/>
          <w:b w:val="false"/>
          <w:bCs w:val="false"/>
          <w:i w:val="false"/>
          <w:iCs w:val="false"/>
          <w:color w:val="1C2A4A"/>
          <w:sz w:val="22"/>
          <w:szCs w:val="22"/>
        </w:rPr>
        <w:t>Selectors are laid out in a 3-column grid. Applying triggers st.rerun() to refresh the preview.</w:t>
      </w:r>
    </w:p>
    <w:p>
      <w:pPr>
        <w:pStyle w:val="Normal"/>
        <w:spacing w:before="80" w:after="60"/>
        <w:rPr/>
      </w:pPr>
      <w:r>
        <w:rPr/>
      </w:r>
    </w:p>
    <w:p>
      <w:pPr>
        <w:pStyle w:val="Heading2"/>
        <w:spacing w:before="280" w:after="120"/>
        <w:rPr>
          <w:sz w:val="28"/>
          <w:szCs w:val="28"/>
        </w:rPr>
      </w:pPr>
      <w:r>
        <w:rPr>
          <w:rFonts w:eastAsia="Arial" w:cs="Arial" w:ascii="Arial" w:hAnsi="Arial"/>
          <w:b/>
          <w:bCs/>
          <w:color w:val="1E4DB7"/>
          <w:sz w:val="28"/>
          <w:szCs w:val="28"/>
        </w:rPr>
        <w:t>5.4  Step 3 — Categorical Cleaning</w:t>
      </w:r>
    </w:p>
    <w:p>
      <w:pPr>
        <w:pStyle w:val="Normal"/>
        <w:spacing w:before="0" w:after="120"/>
        <w:jc w:val="start"/>
        <w:rPr>
          <w:sz w:val="28"/>
          <w:szCs w:val="28"/>
        </w:rPr>
      </w:pPr>
      <w:r>
        <w:rPr>
          <w:rFonts w:eastAsia="Arial" w:cs="Arial"/>
          <w:b w:val="false"/>
          <w:bCs w:val="false"/>
          <w:i w:val="false"/>
          <w:iCs w:val="false"/>
          <w:color w:val="1C2A4A"/>
          <w:sz w:val="28"/>
          <w:szCs w:val="28"/>
        </w:rPr>
        <w:t>Users select one or more object-dtype columns from a multiselect. The operation applies .astype(str).str.lower().str.strip() to each selected column — normalizing case and removing leading/trailing whitespace. This is a key step before encoding to prevent label fragmentation (e.g., " Male" vs "male" being treated as different categories).</w:t>
      </w:r>
    </w:p>
    <w:p>
      <w:pPr>
        <w:pStyle w:val="Heading2"/>
        <w:spacing w:before="280" w:after="120"/>
        <w:rPr>
          <w:sz w:val="28"/>
          <w:szCs w:val="28"/>
        </w:rPr>
      </w:pPr>
      <w:r>
        <w:rPr>
          <w:rFonts w:eastAsia="Arial" w:cs="Arial" w:ascii="Arial" w:hAnsi="Arial"/>
          <w:b/>
          <w:bCs/>
          <w:color w:val="1E4DB7"/>
          <w:sz w:val="28"/>
          <w:szCs w:val="28"/>
        </w:rPr>
        <w:t>5.5  Step 4 — Encoding</w:t>
      </w:r>
    </w:p>
    <w:p>
      <w:pPr>
        <w:pStyle w:val="Normal"/>
        <w:spacing w:before="0" w:after="120"/>
        <w:jc w:val="start"/>
        <w:rPr>
          <w:sz w:val="28"/>
          <w:szCs w:val="28"/>
        </w:rPr>
      </w:pPr>
      <w:r>
        <w:rPr>
          <w:rFonts w:eastAsia="Arial" w:cs="Arial"/>
          <w:b w:val="false"/>
          <w:bCs w:val="false"/>
          <w:i w:val="false"/>
          <w:iCs w:val="false"/>
          <w:color w:val="1C2A4A"/>
          <w:sz w:val="28"/>
          <w:szCs w:val="28"/>
        </w:rPr>
        <w:t>Categorical encoding is applied to user-selected object-dtype columns using one of two methods:</w:t>
      </w:r>
    </w:p>
    <w:tbl>
      <w:tblPr>
        <w:tblW w:w="9360" w:type="dxa"/>
        <w:jc w:val="start"/>
        <w:tblInd w:w="0" w:type="dxa"/>
        <w:tblLayout w:type="fixed"/>
        <w:tblCellMar>
          <w:top w:w="80" w:type="dxa"/>
          <w:start w:w="140" w:type="dxa"/>
          <w:bottom w:w="80" w:type="dxa"/>
          <w:end w:w="140" w:type="dxa"/>
        </w:tblCellMar>
      </w:tblPr>
      <w:tblGrid>
        <w:gridCol w:w="2799"/>
        <w:gridCol w:w="6560"/>
      </w:tblGrid>
      <w:tr>
        <w:trPr/>
        <w:tc>
          <w:tcPr>
            <w:tcW w:w="2799"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0"/>
                <w:szCs w:val="30"/>
              </w:rPr>
            </w:pPr>
            <w:r>
              <w:rPr>
                <w:rFonts w:eastAsia="Arial" w:cs="Arial"/>
                <w:b/>
                <w:bCs/>
                <w:i w:val="false"/>
                <w:iCs w:val="false"/>
                <w:color w:val="FFFFFF"/>
                <w:sz w:val="30"/>
                <w:szCs w:val="30"/>
              </w:rPr>
              <w:t>Method</w:t>
            </w:r>
          </w:p>
        </w:tc>
        <w:tc>
          <w:tcPr>
            <w:tcW w:w="65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0"/>
                <w:szCs w:val="30"/>
              </w:rPr>
            </w:pPr>
            <w:r>
              <w:rPr>
                <w:rFonts w:eastAsia="Arial" w:cs="Arial"/>
                <w:b/>
                <w:bCs/>
                <w:i w:val="false"/>
                <w:iCs w:val="false"/>
                <w:color w:val="FFFFFF"/>
                <w:sz w:val="30"/>
                <w:szCs w:val="30"/>
              </w:rPr>
              <w:t>Details</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0"/>
                <w:szCs w:val="30"/>
              </w:rPr>
            </w:pPr>
            <w:r>
              <w:rPr>
                <w:rFonts w:eastAsia="Arial" w:cs="Arial"/>
                <w:b/>
                <w:bCs/>
                <w:i w:val="false"/>
                <w:iCs w:val="false"/>
                <w:color w:val="1C2A4A"/>
                <w:sz w:val="30"/>
                <w:szCs w:val="30"/>
              </w:rPr>
              <w:t>Label Encoding</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0"/>
                <w:szCs w:val="30"/>
              </w:rPr>
            </w:pPr>
            <w:r>
              <w:rPr>
                <w:rFonts w:eastAsia="Arial" w:cs="Arial"/>
                <w:b w:val="false"/>
                <w:bCs w:val="false"/>
                <w:i w:val="false"/>
                <w:iCs w:val="false"/>
                <w:color w:val="1C2A4A"/>
                <w:sz w:val="30"/>
                <w:szCs w:val="30"/>
              </w:rPr>
              <w:t>sklearn LabelEncoder — maps each unique string to an integer (0, 1, 2, …). Applied column by column. Note: implies ordinal relationship; best for tree-based models.</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0"/>
                <w:szCs w:val="30"/>
              </w:rPr>
            </w:pPr>
            <w:r>
              <w:rPr>
                <w:rFonts w:eastAsia="Arial" w:cs="Arial"/>
                <w:b/>
                <w:bCs/>
                <w:i w:val="false"/>
                <w:iCs w:val="false"/>
                <w:color w:val="1C2A4A"/>
                <w:sz w:val="30"/>
                <w:szCs w:val="30"/>
              </w:rPr>
              <w:t>One Hot Encoding</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30"/>
                <w:szCs w:val="30"/>
              </w:rPr>
            </w:pPr>
            <w:r>
              <w:rPr>
                <w:rFonts w:eastAsia="Arial" w:cs="Arial"/>
                <w:b w:val="false"/>
                <w:bCs w:val="false"/>
                <w:i w:val="false"/>
                <w:iCs w:val="false"/>
                <w:color w:val="1C2A4A"/>
                <w:sz w:val="30"/>
                <w:szCs w:val="30"/>
              </w:rPr>
              <w:t>pd.get_dummies — creates a binary column for each unique category. Increases column count. Suitable for nominal categories with linear models.</w:t>
            </w:r>
          </w:p>
        </w:tc>
      </w:tr>
    </w:tbl>
    <w:p>
      <w:pPr>
        <w:pStyle w:val="Heading2"/>
        <w:spacing w:before="280" w:after="120"/>
        <w:rPr>
          <w:sz w:val="28"/>
          <w:szCs w:val="28"/>
        </w:rPr>
      </w:pPr>
      <w:r>
        <w:rPr/>
      </w:r>
    </w:p>
    <w:p>
      <w:pPr>
        <w:pStyle w:val="Heading2"/>
        <w:spacing w:before="280" w:after="120"/>
        <w:rPr>
          <w:sz w:val="28"/>
          <w:szCs w:val="28"/>
        </w:rPr>
      </w:pPr>
      <w:r>
        <w:rPr>
          <w:rFonts w:eastAsia="Arial" w:cs="Arial" w:ascii="Arial" w:hAnsi="Arial"/>
          <w:b/>
          <w:bCs/>
          <w:color w:val="1E4DB7"/>
          <w:sz w:val="28"/>
          <w:szCs w:val="28"/>
        </w:rPr>
        <w:t>5.6  Step 5 — Outlier Handling</w:t>
      </w:r>
    </w:p>
    <w:p>
      <w:pPr>
        <w:pStyle w:val="Normal"/>
        <w:spacing w:before="0" w:after="120"/>
        <w:jc w:val="start"/>
        <w:rPr>
          <w:sz w:val="28"/>
          <w:szCs w:val="28"/>
        </w:rPr>
      </w:pPr>
      <w:r>
        <w:rPr>
          <w:rFonts w:eastAsia="Arial" w:cs="Arial"/>
          <w:b w:val="false"/>
          <w:bCs w:val="false"/>
          <w:i w:val="false"/>
          <w:iCs w:val="false"/>
          <w:color w:val="1C2A4A"/>
          <w:sz w:val="28"/>
          <w:szCs w:val="28"/>
        </w:rPr>
        <w:t>Users select numeric columns and choose a removal strategy using the IQR method (Q1 − 1.5×IQR to Q3 + 1.5×IQR bounds):</w:t>
      </w:r>
    </w:p>
    <w:tbl>
      <w:tblPr>
        <w:tblW w:w="9350" w:type="dxa"/>
        <w:jc w:val="start"/>
        <w:tblInd w:w="10" w:type="dxa"/>
        <w:tblLayout w:type="fixed"/>
        <w:tblCellMar>
          <w:top w:w="80" w:type="dxa"/>
          <w:start w:w="140" w:type="dxa"/>
          <w:bottom w:w="80" w:type="dxa"/>
          <w:end w:w="140" w:type="dxa"/>
        </w:tblCellMar>
      </w:tblPr>
      <w:tblGrid>
        <w:gridCol w:w="2784"/>
        <w:gridCol w:w="6566"/>
      </w:tblGrid>
      <w:tr>
        <w:trPr/>
        <w:tc>
          <w:tcPr>
            <w:tcW w:w="2784"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Method</w:t>
            </w:r>
          </w:p>
        </w:tc>
        <w:tc>
          <w:tcPr>
            <w:tcW w:w="6566"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Behavior</w:t>
            </w:r>
          </w:p>
        </w:tc>
      </w:tr>
      <w:tr>
        <w:trPr/>
        <w:tc>
          <w:tcPr>
            <w:tcW w:w="2784"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Cap (Winsorize)</w:t>
            </w:r>
          </w:p>
        </w:tc>
        <w:tc>
          <w:tcPr>
            <w:tcW w:w="656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Values outside IQR bounds are clipped to the lower or upper bound — row count is preserved</w:t>
            </w:r>
          </w:p>
        </w:tc>
      </w:tr>
      <w:tr>
        <w:trPr/>
        <w:tc>
          <w:tcPr>
            <w:tcW w:w="2784"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Remove Rows</w:t>
            </w:r>
          </w:p>
        </w:tc>
        <w:tc>
          <w:tcPr>
            <w:tcW w:w="656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Rows containing outlier values are dropped entirely — may reduce dataset size significantly</w:t>
            </w:r>
          </w:p>
        </w:tc>
      </w:tr>
    </w:tbl>
    <w:p>
      <w:pPr>
        <w:pStyle w:val="Normal"/>
        <w:spacing w:before="80" w:after="60"/>
        <w:rPr/>
      </w:pPr>
      <w:r>
        <w:rPr/>
      </w:r>
    </w:p>
    <w:p>
      <w:pPr>
        <w:pStyle w:val="Heading2"/>
        <w:spacing w:before="280" w:after="120"/>
        <w:rPr>
          <w:rFonts w:ascii="Arial" w:hAnsi="Arial" w:eastAsia="Arial" w:cs="Arial"/>
          <w:b/>
          <w:bCs/>
          <w:color w:val="1E4DB7"/>
          <w:sz w:val="24"/>
          <w:szCs w:val="24"/>
        </w:rPr>
      </w:pPr>
      <w:r>
        <w:rPr/>
      </w:r>
    </w:p>
    <w:p>
      <w:pPr>
        <w:pStyle w:val="Heading2"/>
        <w:spacing w:before="280" w:after="120"/>
        <w:rPr/>
      </w:pPr>
      <w:r>
        <w:rPr>
          <w:rFonts w:eastAsia="Arial" w:cs="Arial" w:ascii="Arial" w:hAnsi="Arial"/>
          <w:b/>
          <w:bCs/>
          <w:color w:val="1E4DB7"/>
          <w:sz w:val="24"/>
          <w:szCs w:val="24"/>
        </w:rPr>
        <w:t>5.7  Step 6 — Feature Scaling</w:t>
      </w:r>
    </w:p>
    <w:p>
      <w:pPr>
        <w:pStyle w:val="Normal"/>
        <w:spacing w:before="0" w:after="120"/>
        <w:jc w:val="start"/>
        <w:rPr>
          <w:sz w:val="24"/>
          <w:szCs w:val="24"/>
        </w:rPr>
      </w:pPr>
      <w:r>
        <w:rPr>
          <w:rFonts w:eastAsia="Arial" w:cs="Arial"/>
          <w:b w:val="false"/>
          <w:bCs w:val="false"/>
          <w:i w:val="false"/>
          <w:iCs w:val="false"/>
          <w:color w:val="1C2A4A"/>
          <w:sz w:val="24"/>
          <w:szCs w:val="24"/>
        </w:rPr>
        <w:t>Each numeric column can be independently assigned a scaling method via a 3-column grid of selectboxes:</w:t>
      </w:r>
    </w:p>
    <w:tbl>
      <w:tblPr>
        <w:tblW w:w="9360" w:type="dxa"/>
        <w:jc w:val="start"/>
        <w:tblInd w:w="0" w:type="dxa"/>
        <w:tblLayout w:type="fixed"/>
        <w:tblCellMar>
          <w:top w:w="80" w:type="dxa"/>
          <w:start w:w="140" w:type="dxa"/>
          <w:bottom w:w="80" w:type="dxa"/>
          <w:end w:w="140" w:type="dxa"/>
        </w:tblCellMar>
      </w:tblPr>
      <w:tblGrid>
        <w:gridCol w:w="2799"/>
        <w:gridCol w:w="6560"/>
      </w:tblGrid>
      <w:tr>
        <w:trPr/>
        <w:tc>
          <w:tcPr>
            <w:tcW w:w="2799"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Scaler</w:t>
            </w:r>
          </w:p>
        </w:tc>
        <w:tc>
          <w:tcPr>
            <w:tcW w:w="65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8"/>
                <w:szCs w:val="28"/>
              </w:rPr>
            </w:pPr>
            <w:r>
              <w:rPr>
                <w:rFonts w:eastAsia="Arial" w:cs="Arial"/>
                <w:b/>
                <w:bCs/>
                <w:i w:val="false"/>
                <w:iCs w:val="false"/>
                <w:color w:val="FFFFFF"/>
                <w:sz w:val="28"/>
                <w:szCs w:val="28"/>
              </w:rPr>
              <w:t>Description &amp; Best Use</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None</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No scaling applied to this column</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Standard (Z-score)</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StandardScaler — transforms to zero mean and unit variance. Best for algorithms assuming normally distributed features (logistic regression, SVM, PCA).</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MinMax (0-1)</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MinMaxScaler — scales values to [0, 1] range. Best when bounded range is needed (neural networks, KNN).</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Robust (IQR)</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RobustScaler — uses median and IQR for centering/scaling; resistant to outliers. Best when outliers could not be removed.</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MaxAbs</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MaxAbsScaler — scales each feature by its maximum absolute value to [−1, 1]. Best for sparse data.</w:t>
            </w:r>
          </w:p>
        </w:tc>
      </w:tr>
    </w:tbl>
    <w:p>
      <w:pPr>
        <w:pStyle w:val="Normal"/>
        <w:spacing w:before="80" w:after="60"/>
        <w:rPr/>
      </w:pPr>
      <w:r>
        <w:rPr/>
      </w:r>
    </w:p>
    <w:p>
      <w:pPr>
        <w:pStyle w:val="Heading2"/>
        <w:spacing w:before="280" w:after="120"/>
        <w:rPr>
          <w:sz w:val="28"/>
          <w:szCs w:val="28"/>
        </w:rPr>
      </w:pPr>
      <w:r>
        <w:rPr>
          <w:rFonts w:eastAsia="Arial" w:cs="Arial" w:ascii="Arial" w:hAnsi="Arial"/>
          <w:b/>
          <w:bCs/>
          <w:color w:val="1E4DB7"/>
          <w:sz w:val="28"/>
          <w:szCs w:val="28"/>
        </w:rPr>
        <w:t>5.8  Processed Data Preview &amp; Metrics</w:t>
      </w:r>
    </w:p>
    <w:p>
      <w:pPr>
        <w:pStyle w:val="Normal"/>
        <w:spacing w:before="0" w:after="120"/>
        <w:jc w:val="start"/>
        <w:rPr>
          <w:sz w:val="28"/>
          <w:szCs w:val="28"/>
        </w:rPr>
      </w:pPr>
      <w:r>
        <w:rPr>
          <w:rFonts w:eastAsia="Arial" w:cs="Arial"/>
          <w:b w:val="false"/>
          <w:bCs w:val="false"/>
          <w:i w:val="false"/>
          <w:iCs w:val="false"/>
          <w:color w:val="1C2A4A"/>
          <w:sz w:val="28"/>
          <w:szCs w:val="28"/>
        </w:rPr>
        <w:t>After any step, the current working DataFrame is displayed with row count, column count, and total missing cell count shown as Streamlit metrics.</w:t>
      </w:r>
    </w:p>
    <w:p>
      <w:pPr>
        <w:pStyle w:val="Normal"/>
        <w:spacing w:before="80" w:after="60"/>
        <w:rPr/>
      </w:pPr>
      <w:r>
        <w:rPr/>
      </w:r>
    </w:p>
    <w:p>
      <w:pPr>
        <w:pStyle w:val="Heading2"/>
        <w:spacing w:before="280" w:after="120"/>
        <w:rPr>
          <w:rFonts w:ascii="Arial" w:hAnsi="Arial" w:eastAsia="Arial" w:cs="Arial"/>
          <w:b/>
          <w:bCs/>
          <w:color w:val="1E4DB7"/>
          <w:sz w:val="26"/>
          <w:szCs w:val="26"/>
        </w:rPr>
      </w:pPr>
      <w:r>
        <w:rPr>
          <w:rFonts w:eastAsia="Arial" w:cs="Arial"/>
          <w:b/>
          <w:bCs/>
          <w:color w:val="1E4DB7"/>
          <w:sz w:val="26"/>
          <w:szCs w:val="26"/>
        </w:rPr>
      </w:r>
    </w:p>
    <w:p>
      <w:pPr>
        <w:pStyle w:val="Heading2"/>
        <w:spacing w:before="280" w:after="120"/>
        <w:rPr/>
      </w:pPr>
      <w:r>
        <w:rPr>
          <w:rFonts w:eastAsia="Arial" w:cs="Arial" w:ascii="Arial" w:hAnsi="Arial"/>
          <w:b/>
          <w:bCs/>
          <w:color w:val="1E4DB7"/>
          <w:sz w:val="26"/>
          <w:szCs w:val="26"/>
        </w:rPr>
        <w:t>5.9  Reset &amp; Download</w:t>
      </w:r>
    </w:p>
    <w:tbl>
      <w:tblPr>
        <w:tblW w:w="9360" w:type="dxa"/>
        <w:jc w:val="start"/>
        <w:tblInd w:w="0" w:type="dxa"/>
        <w:tblLayout w:type="fixed"/>
        <w:tblCellMar>
          <w:top w:w="80" w:type="dxa"/>
          <w:start w:w="140" w:type="dxa"/>
          <w:bottom w:w="80" w:type="dxa"/>
          <w:end w:w="140" w:type="dxa"/>
        </w:tblCellMar>
      </w:tblPr>
      <w:tblGrid>
        <w:gridCol w:w="2799"/>
        <w:gridCol w:w="6560"/>
      </w:tblGrid>
      <w:tr>
        <w:trPr/>
        <w:tc>
          <w:tcPr>
            <w:tcW w:w="2799"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2"/>
                <w:szCs w:val="32"/>
              </w:rPr>
            </w:pPr>
            <w:r>
              <w:rPr>
                <w:rFonts w:eastAsia="Arial" w:cs="Arial"/>
                <w:b/>
                <w:bCs/>
                <w:i w:val="false"/>
                <w:iCs w:val="false"/>
                <w:color w:val="FFFFFF"/>
                <w:sz w:val="32"/>
                <w:szCs w:val="32"/>
              </w:rPr>
              <w:t>Action</w:t>
            </w:r>
          </w:p>
        </w:tc>
        <w:tc>
          <w:tcPr>
            <w:tcW w:w="65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32"/>
                <w:szCs w:val="32"/>
              </w:rPr>
            </w:pPr>
            <w:r>
              <w:rPr>
                <w:rFonts w:eastAsia="Arial" w:cs="Arial"/>
                <w:b/>
                <w:bCs/>
                <w:i w:val="false"/>
                <w:iCs w:val="false"/>
                <w:color w:val="FFFFFF"/>
                <w:sz w:val="32"/>
                <w:szCs w:val="32"/>
              </w:rPr>
              <w:t>Behavior</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Reset to Original Data</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Calls uploaded.seek(0) then load_data(uploaded) and overwrites session_state — all applied transformations are discarded</w:t>
            </w:r>
          </w:p>
        </w:tc>
      </w:tr>
      <w:tr>
        <w:trPr/>
        <w:tc>
          <w:tcPr>
            <w:tcW w:w="2799"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bCs/>
                <w:i w:val="false"/>
                <w:iCs w:val="false"/>
                <w:color w:val="1C2A4A"/>
                <w:sz w:val="28"/>
                <w:szCs w:val="28"/>
              </w:rPr>
              <w:t>Download Processed CSV</w:t>
            </w:r>
          </w:p>
        </w:tc>
        <w:tc>
          <w:tcPr>
            <w:tcW w:w="65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8"/>
                <w:szCs w:val="28"/>
              </w:rPr>
            </w:pPr>
            <w:r>
              <w:rPr>
                <w:rFonts w:eastAsia="Arial" w:cs="Arial"/>
                <w:b w:val="false"/>
                <w:bCs w:val="false"/>
                <w:i w:val="false"/>
                <w:iCs w:val="false"/>
                <w:color w:val="1C2A4A"/>
                <w:sz w:val="28"/>
                <w:szCs w:val="28"/>
              </w:rPr>
              <w:t>Exports the current working DataFrame as a CSV. Filename is derived from the original upload name with "processed_" prefix</w:t>
            </w:r>
          </w:p>
        </w:tc>
      </w:tr>
    </w:tbl>
    <w:p>
      <w:pPr>
        <w:pStyle w:val="Normal"/>
        <w:spacing w:before="100" w:after="80"/>
        <w:rPr/>
      </w:pPr>
      <w:r>
        <w:rPr/>
      </w:r>
    </w:p>
    <w:p>
      <w:pPr>
        <w:pStyle w:val="Heading1"/>
        <w:pBdr>
          <w:bottom w:val="single" w:sz="8" w:space="4" w:color="1E4DB7"/>
        </w:pBdr>
        <w:spacing w:before="0" w:after="160"/>
        <w:rPr/>
      </w:pPr>
      <w:r>
        <w:rPr>
          <w:rFonts w:eastAsia="Arial" w:cs="Arial" w:ascii="Arial" w:hAnsi="Arial"/>
          <w:b/>
          <w:bCs/>
          <w:color w:val="0B1A3E"/>
          <w:sz w:val="32"/>
          <w:szCs w:val="32"/>
        </w:rPr>
        <w:t>6. Design &amp; UI System</w:t>
      </w:r>
    </w:p>
    <w:p>
      <w:pPr>
        <w:pStyle w:val="Heading2"/>
        <w:spacing w:before="280" w:after="120"/>
        <w:rPr/>
      </w:pPr>
      <w:r>
        <w:rPr>
          <w:rFonts w:eastAsia="Arial" w:cs="Arial" w:ascii="Arial" w:hAnsi="Arial"/>
          <w:b/>
          <w:bCs/>
          <w:color w:val="1E4DB7"/>
          <w:sz w:val="26"/>
          <w:szCs w:val="26"/>
        </w:rPr>
        <w:t>6.1  Typography</w:t>
      </w:r>
    </w:p>
    <w:tbl>
      <w:tblPr>
        <w:tblW w:w="9360" w:type="dxa"/>
        <w:jc w:val="start"/>
        <w:tblInd w:w="0" w:type="dxa"/>
        <w:tblLayout w:type="fixed"/>
        <w:tblCellMar>
          <w:top w:w="80" w:type="dxa"/>
          <w:start w:w="140" w:type="dxa"/>
          <w:bottom w:w="80" w:type="dxa"/>
          <w:end w:w="140" w:type="dxa"/>
        </w:tblCellMar>
      </w:tblPr>
      <w:tblGrid>
        <w:gridCol w:w="2398"/>
        <w:gridCol w:w="3362"/>
        <w:gridCol w:w="3600"/>
      </w:tblGrid>
      <w:tr>
        <w:trPr/>
        <w:tc>
          <w:tcPr>
            <w:tcW w:w="239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Font</w:t>
            </w:r>
          </w:p>
        </w:tc>
        <w:tc>
          <w:tcPr>
            <w:tcW w:w="3362"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Role</w:t>
            </w:r>
          </w:p>
        </w:tc>
        <w:tc>
          <w:tcPr>
            <w:tcW w:w="36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Weights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Syne</w:t>
            </w:r>
          </w:p>
        </w:tc>
        <w:tc>
          <w:tcPr>
            <w:tcW w:w="33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Headings, KPI values, large numbers</w:t>
            </w:r>
          </w:p>
        </w:tc>
        <w:tc>
          <w:tcPr>
            <w:tcW w:w="3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400, 600, 700</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DM Sans</w:t>
            </w:r>
          </w:p>
        </w:tc>
        <w:tc>
          <w:tcPr>
            <w:tcW w:w="33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Body text, labels, descriptions</w:t>
            </w:r>
          </w:p>
        </w:tc>
        <w:tc>
          <w:tcPr>
            <w:tcW w:w="3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300, 400, 500</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DM Mono</w:t>
            </w:r>
          </w:p>
        </w:tc>
        <w:tc>
          <w:tcPr>
            <w:tcW w:w="33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Code snippets, tags, badge labels</w:t>
            </w:r>
          </w:p>
        </w:tc>
        <w:tc>
          <w:tcPr>
            <w:tcW w:w="36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400, 500</w:t>
            </w:r>
          </w:p>
        </w:tc>
      </w:tr>
    </w:tbl>
    <w:p>
      <w:pPr>
        <w:pStyle w:val="Normal"/>
        <w:spacing w:before="100" w:after="60"/>
        <w:rPr/>
      </w:pPr>
      <w:r>
        <w:rPr/>
      </w:r>
    </w:p>
    <w:p>
      <w:pPr>
        <w:pStyle w:val="Heading2"/>
        <w:spacing w:before="280" w:after="120"/>
        <w:rPr/>
      </w:pPr>
      <w:r>
        <w:rPr>
          <w:rFonts w:eastAsia="Arial" w:cs="Arial" w:ascii="Arial" w:hAnsi="Arial"/>
          <w:b/>
          <w:bCs/>
          <w:color w:val="1E4DB7"/>
          <w:sz w:val="26"/>
          <w:szCs w:val="26"/>
        </w:rPr>
        <w:t>6.2  Color System</w:t>
      </w:r>
    </w:p>
    <w:tbl>
      <w:tblPr>
        <w:tblW w:w="9360" w:type="dxa"/>
        <w:jc w:val="start"/>
        <w:tblInd w:w="0" w:type="dxa"/>
        <w:tblLayout w:type="fixed"/>
        <w:tblCellMar>
          <w:top w:w="80" w:type="dxa"/>
          <w:start w:w="140" w:type="dxa"/>
          <w:bottom w:w="80" w:type="dxa"/>
          <w:end w:w="140" w:type="dxa"/>
        </w:tblCellMar>
      </w:tblPr>
      <w:tblGrid>
        <w:gridCol w:w="2398"/>
        <w:gridCol w:w="2400"/>
        <w:gridCol w:w="4562"/>
      </w:tblGrid>
      <w:tr>
        <w:trPr/>
        <w:tc>
          <w:tcPr>
            <w:tcW w:w="2398"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Token</w:t>
            </w:r>
          </w:p>
        </w:tc>
        <w:tc>
          <w:tcPr>
            <w:tcW w:w="240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Hex</w:t>
            </w:r>
          </w:p>
        </w:tc>
        <w:tc>
          <w:tcPr>
            <w:tcW w:w="4562"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pPr>
            <w:r>
              <w:rPr>
                <w:rFonts w:eastAsia="Arial" w:cs="Arial"/>
                <w:b/>
                <w:bCs/>
                <w:i w:val="false"/>
                <w:iCs w:val="false"/>
                <w:color w:val="FFFFFF"/>
                <w:sz w:val="19"/>
                <w:szCs w:val="19"/>
              </w:rPr>
              <w:t>Usage</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Background</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#0b0f1a</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App background (near-black navy)</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Surface</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#131929</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Card/table/input backgrounds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Elevated</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#1a2235</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KPI cards, reco cards, metric widgets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Border</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#243050</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All borders and dividers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Text Primary</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#e8eef8</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Main text</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Text Muted</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#6b7fa3</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Labels, descriptions, secondary text</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Accent Blue</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#4f8ef7</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Active tabs, fix tags, info highlights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Good (Teal)</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#22d3a5</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Good badge, Grade A, zero-issue state</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Warning (Amber)</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#f5a623</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Warn badge, Grade B, moderate issues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Critical (Red)</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#f05a5a</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Bad badge, Grade C, critical issues</w:t>
            </w:r>
          </w:p>
        </w:tc>
      </w:tr>
      <w:tr>
        <w:trPr/>
        <w:tc>
          <w:tcPr>
            <w:tcW w:w="2398"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Purple</w:t>
            </w:r>
          </w:p>
        </w:tc>
        <w:tc>
          <w:tcPr>
            <w:tcW w:w="2400"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bCs/>
                <w:i w:val="false"/>
                <w:iCs w:val="false"/>
                <w:color w:val="1C2A4A"/>
                <w:sz w:val="20"/>
                <w:szCs w:val="20"/>
              </w:rPr>
              <w:t>#a78bfa</w:t>
            </w:r>
          </w:p>
        </w:tc>
        <w:tc>
          <w:tcPr>
            <w:tcW w:w="4562" w:type="dxa"/>
            <w:tcBorders>
              <w:top w:val="single" w:sz="2" w:space="0" w:color="D0DAF5"/>
              <w:start w:val="single" w:sz="2" w:space="0" w:color="D0DAF5"/>
              <w:bottom w:val="single" w:sz="2" w:space="0" w:color="D0DAF5"/>
              <w:end w:val="single" w:sz="2" w:space="0" w:color="D0DAF5"/>
            </w:tcBorders>
            <w:vAlign w:val="center"/>
          </w:tcPr>
          <w:p>
            <w:pPr>
              <w:pStyle w:val="Normal"/>
              <w:jc w:val="start"/>
              <w:rPr/>
            </w:pPr>
            <w:r>
              <w:rPr>
                <w:rFonts w:eastAsia="Arial" w:cs="Arial"/>
                <w:b w:val="false"/>
                <w:bCs w:val="false"/>
                <w:i w:val="false"/>
                <w:iCs w:val="false"/>
                <w:color w:val="1C2A4A"/>
                <w:sz w:val="20"/>
                <w:szCs w:val="20"/>
              </w:rPr>
              <w:t>Duplicate rows highlight in faulty table</w:t>
            </w:r>
          </w:p>
        </w:tc>
      </w:tr>
    </w:tbl>
    <w:p>
      <w:pPr>
        <w:pStyle w:val="Normal"/>
        <w:spacing w:before="80" w:after="60"/>
        <w:rPr/>
      </w:pPr>
      <w:r>
        <w:rPr/>
      </w:r>
    </w:p>
    <w:p>
      <w:pPr>
        <w:pStyle w:val="Heading2"/>
        <w:spacing w:before="280" w:after="120"/>
        <w:rPr>
          <w:sz w:val="24"/>
          <w:szCs w:val="24"/>
        </w:rPr>
      </w:pPr>
      <w:r>
        <w:rPr>
          <w:rFonts w:eastAsia="Arial" w:cs="Arial" w:ascii="Arial" w:hAnsi="Arial"/>
          <w:b/>
          <w:bCs/>
          <w:color w:val="1E4DB7"/>
          <w:sz w:val="24"/>
          <w:szCs w:val="24"/>
        </w:rPr>
        <w:t>6.3  UI Component Styling</w:t>
      </w:r>
    </w:p>
    <w:p>
      <w:pPr>
        <w:pStyle w:val="Normal"/>
        <w:spacing w:before="0" w:after="120"/>
        <w:jc w:val="start"/>
        <w:rPr>
          <w:sz w:val="24"/>
          <w:szCs w:val="24"/>
        </w:rPr>
      </w:pPr>
      <w:r>
        <w:rPr>
          <w:rFonts w:eastAsia="Arial" w:cs="Arial"/>
          <w:b w:val="false"/>
          <w:bCs w:val="false"/>
          <w:i w:val="false"/>
          <w:iCs w:val="false"/>
          <w:color w:val="1C2A4A"/>
          <w:sz w:val="24"/>
          <w:szCs w:val="24"/>
        </w:rPr>
        <w:t>All Streamlit native components are overridden via injected CSS (st.markdown with unsafe_allow_html=True):</w:t>
      </w:r>
    </w:p>
    <w:p>
      <w:pPr>
        <w:pStyle w:val="ListParagraph"/>
        <w:numPr>
          <w:ilvl w:val="0"/>
          <w:numId w:val="12"/>
        </w:numPr>
        <w:spacing w:before="40" w:after="60"/>
        <w:rPr>
          <w:sz w:val="24"/>
          <w:szCs w:val="24"/>
        </w:rPr>
      </w:pPr>
      <w:r>
        <w:rPr>
          <w:rFonts w:eastAsia="Arial" w:cs="Arial"/>
          <w:color w:val="1C2A4A"/>
          <w:sz w:val="24"/>
          <w:szCs w:val="24"/>
        </w:rPr>
        <w:t>Tabs: dark pill background (#131929) with active tab highlighted in elevated surface and accent blue text.</w:t>
      </w:r>
    </w:p>
    <w:p>
      <w:pPr>
        <w:pStyle w:val="ListParagraph"/>
        <w:numPr>
          <w:ilvl w:val="0"/>
          <w:numId w:val="13"/>
        </w:numPr>
        <w:spacing w:before="40" w:after="60"/>
        <w:rPr>
          <w:sz w:val="24"/>
          <w:szCs w:val="24"/>
        </w:rPr>
      </w:pPr>
      <w:r>
        <w:rPr>
          <w:rFonts w:eastAsia="Arial" w:cs="Arial"/>
          <w:color w:val="1C2A4A"/>
          <w:sz w:val="24"/>
          <w:szCs w:val="24"/>
        </w:rPr>
        <w:t>Metric widgets: elevated card background with muted label text and Syne font for values.</w:t>
      </w:r>
    </w:p>
    <w:p>
      <w:pPr>
        <w:pStyle w:val="ListParagraph"/>
        <w:numPr>
          <w:ilvl w:val="0"/>
          <w:numId w:val="14"/>
        </w:numPr>
        <w:spacing w:before="40" w:after="60"/>
        <w:rPr>
          <w:sz w:val="24"/>
          <w:szCs w:val="24"/>
        </w:rPr>
      </w:pPr>
      <w:r>
        <w:rPr>
          <w:rFonts w:eastAsia="Arial" w:cs="Arial"/>
          <w:color w:val="1C2A4A"/>
          <w:sz w:val="24"/>
          <w:szCs w:val="24"/>
        </w:rPr>
        <w:t>Buttons: elevated background with hover state changing to border-color accent blue.</w:t>
      </w:r>
    </w:p>
    <w:p>
      <w:pPr>
        <w:pStyle w:val="ListParagraph"/>
        <w:numPr>
          <w:ilvl w:val="0"/>
          <w:numId w:val="15"/>
        </w:numPr>
        <w:spacing w:before="40" w:after="60"/>
        <w:rPr>
          <w:sz w:val="24"/>
          <w:szCs w:val="24"/>
        </w:rPr>
      </w:pPr>
      <w:r>
        <w:rPr>
          <w:rFonts w:eastAsia="Arial" w:cs="Arial"/>
          <w:color w:val="1C2A4A"/>
          <w:sz w:val="24"/>
          <w:szCs w:val="24"/>
        </w:rPr>
        <w:t>File uploader: dashed border on dark surface background.</w:t>
      </w:r>
    </w:p>
    <w:p>
      <w:pPr>
        <w:pStyle w:val="ListParagraph"/>
        <w:numPr>
          <w:ilvl w:val="0"/>
          <w:numId w:val="16"/>
        </w:numPr>
        <w:spacing w:before="40" w:after="60"/>
        <w:rPr>
          <w:sz w:val="24"/>
          <w:szCs w:val="24"/>
        </w:rPr>
      </w:pPr>
      <w:r>
        <w:rPr>
          <w:rFonts w:eastAsia="Arial" w:cs="Arial"/>
          <w:color w:val="1C2A4A"/>
          <w:sz w:val="24"/>
          <w:szCs w:val="24"/>
        </w:rPr>
        <w:t>Selectboxes and multiselects: dark surface background with border override.</w:t>
      </w:r>
    </w:p>
    <w:p>
      <w:pPr>
        <w:pStyle w:val="ListParagraph"/>
        <w:numPr>
          <w:ilvl w:val="0"/>
          <w:numId w:val="17"/>
        </w:numPr>
        <w:spacing w:before="40" w:after="60"/>
        <w:rPr>
          <w:sz w:val="24"/>
          <w:szCs w:val="24"/>
        </w:rPr>
      </w:pPr>
      <w:r>
        <w:rPr>
          <w:rFonts w:eastAsia="Arial" w:cs="Arial"/>
          <w:color w:val="1C2A4A"/>
          <w:sz w:val="24"/>
          <w:szCs w:val="24"/>
        </w:rPr>
        <w:t>DataFrames: dark background with muted header row.</w:t>
      </w:r>
    </w:p>
    <w:p>
      <w:pPr>
        <w:pStyle w:val="Normal"/>
        <w:spacing w:before="60" w:after="60"/>
        <w:rPr>
          <w:sz w:val="24"/>
          <w:szCs w:val="24"/>
        </w:rPr>
      </w:pPr>
      <w:r>
        <w:rPr>
          <w:sz w:val="24"/>
          <w:szCs w:val="24"/>
        </w:rPr>
      </w:r>
    </w:p>
    <w:p>
      <w:pPr>
        <w:pStyle w:val="Heading1"/>
        <w:pBdr>
          <w:bottom w:val="single" w:sz="8" w:space="4" w:color="1E4DB7"/>
        </w:pBdr>
        <w:spacing w:before="0" w:after="160"/>
        <w:rPr/>
      </w:pPr>
      <w:r>
        <w:rPr>
          <w:rFonts w:eastAsia="Arial" w:cs="Arial" w:ascii="Arial" w:hAnsi="Arial"/>
          <w:b/>
          <w:bCs/>
          <w:color w:val="0B1A3E"/>
          <w:sz w:val="32"/>
          <w:szCs w:val="32"/>
        </w:rPr>
        <w:t>7. Technical Reference</w:t>
      </w:r>
    </w:p>
    <w:p>
      <w:pPr>
        <w:pStyle w:val="Heading2"/>
        <w:spacing w:before="280" w:after="120"/>
        <w:rPr>
          <w:sz w:val="22"/>
          <w:szCs w:val="22"/>
        </w:rPr>
      </w:pPr>
      <w:r>
        <w:rPr>
          <w:rFonts w:eastAsia="Arial" w:cs="Arial" w:ascii="Arial" w:hAnsi="Arial"/>
          <w:b/>
          <w:bCs/>
          <w:color w:val="1E4DB7"/>
          <w:sz w:val="22"/>
          <w:szCs w:val="22"/>
        </w:rPr>
        <w:t>7.1  Core Function Index</w:t>
      </w:r>
    </w:p>
    <w:tbl>
      <w:tblPr>
        <w:tblW w:w="9397" w:type="dxa"/>
        <w:jc w:val="start"/>
        <w:tblInd w:w="-37" w:type="dxa"/>
        <w:tblLayout w:type="fixed"/>
        <w:tblCellMar>
          <w:top w:w="80" w:type="dxa"/>
          <w:start w:w="140" w:type="dxa"/>
          <w:bottom w:w="80" w:type="dxa"/>
          <w:end w:w="140" w:type="dxa"/>
        </w:tblCellMar>
      </w:tblPr>
      <w:tblGrid>
        <w:gridCol w:w="3036"/>
        <w:gridCol w:w="6360"/>
      </w:tblGrid>
      <w:tr>
        <w:trPr/>
        <w:tc>
          <w:tcPr>
            <w:tcW w:w="3036"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2"/>
                <w:szCs w:val="22"/>
              </w:rPr>
            </w:pPr>
            <w:r>
              <w:rPr>
                <w:rFonts w:eastAsia="Arial" w:cs="Arial"/>
                <w:b/>
                <w:bCs/>
                <w:i w:val="false"/>
                <w:iCs w:val="false"/>
                <w:color w:val="FFFFFF"/>
                <w:sz w:val="22"/>
                <w:szCs w:val="22"/>
              </w:rPr>
              <w:t>Function</w:t>
            </w:r>
          </w:p>
        </w:tc>
        <w:tc>
          <w:tcPr>
            <w:tcW w:w="6360" w:type="dxa"/>
            <w:tcBorders>
              <w:top w:val="single" w:sz="2" w:space="0" w:color="D0DAF5"/>
              <w:start w:val="single" w:sz="2" w:space="0" w:color="D0DAF5"/>
              <w:bottom w:val="single" w:sz="2" w:space="0" w:color="D0DAF5"/>
              <w:end w:val="single" w:sz="2" w:space="0" w:color="D0DAF5"/>
            </w:tcBorders>
            <w:shd w:fill="1E4DB7" w:val="clear"/>
            <w:vAlign w:val="center"/>
          </w:tcPr>
          <w:p>
            <w:pPr>
              <w:pStyle w:val="Normal"/>
              <w:jc w:val="start"/>
              <w:rPr>
                <w:sz w:val="22"/>
                <w:szCs w:val="22"/>
              </w:rPr>
            </w:pPr>
            <w:r>
              <w:rPr>
                <w:rFonts w:eastAsia="Arial" w:cs="Arial"/>
                <w:b/>
                <w:bCs/>
                <w:i w:val="false"/>
                <w:iCs w:val="false"/>
                <w:color w:val="FFFFFF"/>
                <w:sz w:val="22"/>
                <w:szCs w:val="22"/>
              </w:rPr>
              <w:t>Description</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load_data(file)</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Detects format by extension and parses into DataFrame with MISSING_MARKERS applied</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infer_col_type(series)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one of: datetime / numeric / categorical / text / empty</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detect_outliers_iqr(series)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(outlier_values, count, lower_bound, upper_bound) using 1.5×IQR rule</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detect_outliers_zscore(series)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count of values where |z| &gt; 3.0 using scipy.stats.zscore</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type_inconsistency(series, type)</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count of minority-type values when a column mixes numeric and text entries</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analyze_dataset(df)</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Master analysis function; returns comprehensive result dict with all quality metrics</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get_faulty_rows(df, result)</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Builds DataFrame of up to 200 problematic rows with an Issues column</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build_recommendations(result, 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ordered list of recommendation dicts based on detected issues</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build_score_gauge(score)</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gauge indicator</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build_missing_bar(col_stats)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missing % per column sorted bar</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build_health_bar(col_stats)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completeness % per column sorted bar</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build_issue_donut(result)</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donut chart by issue category</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build_type_pie(col_stats)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column type distribution pie</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build_outlier_bar(col_stats)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IQR outlier count per numeric column</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build_heatmap(df, col_stats)</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correlation heatmap for up to 15 numeric columns</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build_distribution_hist(df, col)</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Returns Plotly Figure — histogram with IQR bound lines for a single column</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render_analyzer_tab(uploaded)</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Composes and renders the full Tab 1 UI</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render_preparation_tab(uploaded)</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Composes and renders the full Tab 2 stateful pipeline UI</w:t>
            </w:r>
          </w:p>
        </w:tc>
      </w:tr>
      <w:tr>
        <w:trPr/>
        <w:tc>
          <w:tcPr>
            <w:tcW w:w="3036"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bCs/>
                <w:i w:val="false"/>
                <w:iCs w:val="false"/>
                <w:color w:val="1C2A4A"/>
                <w:sz w:val="22"/>
                <w:szCs w:val="22"/>
              </w:rPr>
              <w:t>main()</w:t>
            </w:r>
          </w:p>
        </w:tc>
        <w:tc>
          <w:tcPr>
            <w:tcW w:w="6360" w:type="dxa"/>
            <w:tcBorders>
              <w:top w:val="single" w:sz="2" w:space="0" w:color="D0DAF5"/>
              <w:start w:val="single" w:sz="2" w:space="0" w:color="D0DAF5"/>
              <w:bottom w:val="single" w:sz="2" w:space="0" w:color="D0DAF5"/>
              <w:end w:val="single" w:sz="2" w:space="0" w:color="D0DAF5"/>
            </w:tcBorders>
            <w:vAlign w:val="center"/>
          </w:tcPr>
          <w:p>
            <w:pPr>
              <w:pStyle w:val="Normal"/>
              <w:jc w:val="start"/>
              <w:rPr>
                <w:sz w:val="22"/>
                <w:szCs w:val="22"/>
              </w:rPr>
            </w:pPr>
            <w:r>
              <w:rPr>
                <w:rFonts w:eastAsia="Arial" w:cs="Arial"/>
                <w:b w:val="false"/>
                <w:bCs w:val="false"/>
                <w:i w:val="false"/>
                <w:iCs w:val="false"/>
                <w:color w:val="1C2A4A"/>
                <w:sz w:val="22"/>
                <w:szCs w:val="22"/>
              </w:rPr>
              <w:t>Entry point: sets page config, renders header, shared uploader, tabs, and footer</w:t>
            </w:r>
          </w:p>
        </w:tc>
      </w:tr>
    </w:tbl>
    <w:p>
      <w:pPr>
        <w:pStyle w:val="Heading1"/>
        <w:pBdr>
          <w:bottom w:val="single" w:sz="8" w:space="4" w:color="1E4DB7"/>
        </w:pBdr>
        <w:spacing w:before="0" w:after="160"/>
        <w:rPr>
          <w:rFonts w:ascii="Arial" w:hAnsi="Arial" w:eastAsia="Arial" w:cs="Arial"/>
          <w:b/>
          <w:bCs/>
          <w:color w:val="1E4DB7"/>
          <w:sz w:val="22"/>
          <w:szCs w:val="22"/>
        </w:rPr>
      </w:pPr>
      <w:r>
        <w:rPr>
          <w:rFonts w:eastAsia="Arial" w:cs="Arial"/>
          <w:b/>
          <w:bCs/>
          <w:color w:val="1E4DB7"/>
          <w:sz w:val="22"/>
          <w:szCs w:val="22"/>
        </w:rPr>
      </w:r>
    </w:p>
    <w:p>
      <w:pPr>
        <w:pStyle w:val="Heading1"/>
        <w:pBdr>
          <w:bottom w:val="single" w:sz="8" w:space="4" w:color="1E4DB7"/>
        </w:pBdr>
        <w:spacing w:before="0" w:after="160"/>
        <w:rPr>
          <w:rFonts w:ascii="Arial" w:hAnsi="Arial" w:eastAsia="Arial" w:cs="Arial"/>
          <w:b/>
          <w:bCs/>
          <w:color w:val="0B1A3E"/>
          <w:sz w:val="32"/>
          <w:szCs w:val="32"/>
        </w:rPr>
      </w:pPr>
      <w:r>
        <w:rPr/>
      </w:r>
    </w:p>
    <w:p>
      <w:pPr>
        <w:pStyle w:val="Heading1"/>
        <w:pBdr>
          <w:bottom w:val="single" w:sz="8" w:space="4" w:color="1E4DB7"/>
        </w:pBdr>
        <w:spacing w:before="0" w:after="160"/>
        <w:rPr>
          <w:rFonts w:ascii="Arial" w:hAnsi="Arial" w:eastAsia="Arial" w:cs="Arial"/>
          <w:b/>
          <w:bCs/>
          <w:color w:val="0B1A3E"/>
          <w:sz w:val="32"/>
          <w:szCs w:val="32"/>
        </w:rPr>
      </w:pPr>
      <w:r>
        <w:rPr/>
      </w:r>
    </w:p>
    <w:p>
      <w:pPr>
        <w:pStyle w:val="Heading1"/>
        <w:pBdr>
          <w:bottom w:val="single" w:sz="8" w:space="4" w:color="1E4DB7"/>
        </w:pBdr>
        <w:spacing w:before="0" w:after="160"/>
        <w:rPr/>
      </w:pPr>
      <w:r>
        <w:rPr>
          <w:rFonts w:eastAsia="Arial" w:cs="Arial" w:ascii="Arial" w:hAnsi="Arial"/>
          <w:b/>
          <w:bCs/>
          <w:color w:val="0B1A3E"/>
          <w:sz w:val="32"/>
          <w:szCs w:val="32"/>
        </w:rPr>
        <w:t>8. Quick Reference Card</w:t>
      </w:r>
    </w:p>
    <w:p>
      <w:pPr>
        <w:pStyle w:val="Normal"/>
        <w:spacing w:before="0" w:after="120"/>
        <w:jc w:val="start"/>
        <w:rPr/>
      </w:pPr>
      <w:r>
        <w:rPr>
          <w:rFonts w:eastAsia="Arial" w:cs="Arial"/>
          <w:b w:val="false"/>
          <w:bCs w:val="false"/>
          <w:i w:val="false"/>
          <w:iCs w:val="false"/>
          <w:color w:val="1C2A4A"/>
          <w:sz w:val="22"/>
          <w:szCs w:val="22"/>
        </w:rPr>
        <w:t>A condensed one-page reference for daily use:</w:t>
      </w:r>
    </w:p>
    <w:p>
      <w:pPr>
        <w:pStyle w:val="Normal"/>
        <w:spacing w:before="80" w:after="60"/>
        <w:rPr/>
      </w:pPr>
      <w:r>
        <w:rPr/>
      </w:r>
    </w:p>
    <w:tbl>
      <w:tblPr>
        <w:tblW w:w="9660" w:type="dxa"/>
        <w:jc w:val="start"/>
        <w:tblInd w:w="34" w:type="dxa"/>
        <w:tblLayout w:type="fixed"/>
        <w:tblCellMar>
          <w:top w:w="120" w:type="dxa"/>
          <w:start w:w="180" w:type="dxa"/>
          <w:bottom w:w="120" w:type="dxa"/>
          <w:end w:w="180" w:type="dxa"/>
        </w:tblCellMar>
      </w:tblPr>
      <w:tblGrid>
        <w:gridCol w:w="4380"/>
        <w:gridCol w:w="5280"/>
      </w:tblGrid>
      <w:tr>
        <w:trPr/>
        <w:tc>
          <w:tcPr>
            <w:tcW w:w="4380" w:type="dxa"/>
            <w:tcBorders>
              <w:top w:val="single" w:sz="2" w:space="0" w:color="D0DAF5"/>
              <w:start w:val="single" w:sz="2" w:space="0" w:color="D0DAF5"/>
              <w:bottom w:val="single" w:sz="2" w:space="0" w:color="D0DAF5"/>
              <w:end w:val="single" w:sz="2" w:space="0" w:color="D0DAF5"/>
            </w:tcBorders>
            <w:shd w:fill="F0F4FF" w:val="clear"/>
          </w:tcPr>
          <w:p>
            <w:pPr>
              <w:pStyle w:val="Normal"/>
              <w:spacing w:before="0" w:after="80"/>
              <w:jc w:val="start"/>
              <w:rPr/>
            </w:pPr>
            <w:r>
              <w:rPr>
                <w:rFonts w:eastAsia="Arial" w:cs="Arial"/>
                <w:b/>
                <w:bCs/>
                <w:color w:val="1E4DB7"/>
                <w:sz w:val="24"/>
                <w:szCs w:val="24"/>
              </w:rPr>
              <w:t>TAB 1 — ANALYZER</w:t>
            </w:r>
          </w:p>
          <w:p>
            <w:pPr>
              <w:pStyle w:val="Normal"/>
              <w:spacing w:before="0" w:after="80"/>
              <w:jc w:val="start"/>
              <w:rPr/>
            </w:pPr>
            <w:r>
              <w:rPr>
                <w:rFonts w:eastAsia="Arial" w:cs="Arial"/>
                <w:b/>
                <w:bCs/>
                <w:color w:val="1E4DB7"/>
                <w:sz w:val="24"/>
                <w:szCs w:val="24"/>
              </w:rPr>
              <w:t>---------------------------------------------------</w:t>
            </w:r>
          </w:p>
          <w:p>
            <w:pPr>
              <w:pStyle w:val="Normal"/>
              <w:spacing w:before="0" w:after="60"/>
              <w:jc w:val="start"/>
              <w:rPr/>
            </w:pPr>
            <w:r>
              <w:rPr>
                <w:rFonts w:eastAsia="Courier New" w:cs="Courier New" w:ascii="Courier New" w:hAnsi="Courier New"/>
                <w:color w:val="1C2A4A"/>
                <w:sz w:val="24"/>
                <w:szCs w:val="24"/>
              </w:rPr>
              <w:t>Score = 100 − missing(40) − dup(20) − outlier(20) − type(20)</w:t>
            </w:r>
          </w:p>
          <w:p>
            <w:pPr>
              <w:pStyle w:val="Normal"/>
              <w:spacing w:before="0" w:after="60"/>
              <w:jc w:val="start"/>
              <w:rPr/>
            </w:pPr>
            <w:r>
              <w:rPr>
                <w:rFonts w:eastAsia="Courier New" w:cs="Courier New" w:ascii="Courier New" w:hAnsi="Courier New"/>
                <w:color w:val="1C2A4A"/>
                <w:sz w:val="24"/>
                <w:szCs w:val="24"/>
              </w:rPr>
              <w:t>-------------------------</w:t>
            </w:r>
          </w:p>
          <w:p>
            <w:pPr>
              <w:pStyle w:val="Normal"/>
              <w:spacing w:before="0" w:after="40"/>
              <w:jc w:val="start"/>
              <w:rPr/>
            </w:pPr>
            <w:r>
              <w:rPr>
                <w:rFonts w:eastAsia="Arial" w:cs="Arial"/>
                <w:color w:val="1C2A4A"/>
                <w:sz w:val="24"/>
                <w:szCs w:val="24"/>
              </w:rPr>
              <w:t>Grades:  A ≥80  |  B ≥55  |  C &lt;55</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Outlier: IQR bounds Q1−1.5×IQR / Q3+1.5×IQR</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Z-score: |z| &gt; 3 flagged (reference only)</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Heatmap: up to 15 numeric cols, |r|&gt;0.95 = high corr</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Exports: profile.csv / faulty_rows.csv / summary.json</w:t>
            </w:r>
          </w:p>
        </w:tc>
        <w:tc>
          <w:tcPr>
            <w:tcW w:w="5280" w:type="dxa"/>
            <w:tcBorders>
              <w:top w:val="single" w:sz="2" w:space="0" w:color="D0DAF5"/>
              <w:start w:val="single" w:sz="2" w:space="0" w:color="D0DAF5"/>
              <w:bottom w:val="single" w:sz="2" w:space="0" w:color="D0DAF5"/>
              <w:end w:val="single" w:sz="2" w:space="0" w:color="D0DAF5"/>
            </w:tcBorders>
            <w:shd w:fill="EEF6FF" w:val="clear"/>
          </w:tcPr>
          <w:p>
            <w:pPr>
              <w:pStyle w:val="Normal"/>
              <w:spacing w:before="0" w:after="80"/>
              <w:jc w:val="start"/>
              <w:rPr/>
            </w:pPr>
            <w:r>
              <w:rPr>
                <w:rFonts w:eastAsia="Arial" w:cs="Arial"/>
                <w:b/>
                <w:bCs/>
                <w:color w:val="1E4DB7"/>
                <w:sz w:val="24"/>
                <w:szCs w:val="24"/>
              </w:rPr>
              <w:t>TAB 2 — PREPARATION</w:t>
            </w:r>
          </w:p>
          <w:p>
            <w:pPr>
              <w:pStyle w:val="Normal"/>
              <w:spacing w:before="0" w:after="80"/>
              <w:jc w:val="start"/>
              <w:rPr/>
            </w:pPr>
            <w:r>
              <w:rPr>
                <w:rFonts w:eastAsia="Arial" w:cs="Arial"/>
                <w:b/>
                <w:bCs/>
                <w:color w:val="1E4DB7"/>
                <w:sz w:val="24"/>
                <w:szCs w:val="24"/>
              </w:rPr>
              <w:t>----------------------------------------------------</w:t>
            </w:r>
          </w:p>
          <w:p>
            <w:pPr>
              <w:pStyle w:val="Normal"/>
              <w:spacing w:before="0" w:after="40"/>
              <w:jc w:val="start"/>
              <w:rPr/>
            </w:pPr>
            <w:r>
              <w:rPr>
                <w:rFonts w:eastAsia="Arial" w:cs="Arial"/>
                <w:b w:val="false"/>
                <w:bCs w:val="false"/>
                <w:color w:val="1C2A4A"/>
                <w:sz w:val="24"/>
                <w:szCs w:val="24"/>
              </w:rPr>
              <w:t>Step 1: Remove Duplicates</w:t>
            </w:r>
          </w:p>
          <w:p>
            <w:pPr>
              <w:pStyle w:val="Normal"/>
              <w:spacing w:before="0" w:after="40"/>
              <w:jc w:val="start"/>
              <w:rPr/>
            </w:pPr>
            <w:r>
              <w:rPr>
                <w:rFonts w:eastAsia="Arial" w:cs="Arial"/>
                <w:b w:val="false"/>
                <w:bCs w:val="false"/>
                <w:color w:val="1C2A4A"/>
                <w:sz w:val="24"/>
                <w:szCs w:val="24"/>
              </w:rPr>
              <w:t>---------------------------------------------------</w:t>
            </w:r>
          </w:p>
          <w:p>
            <w:pPr>
              <w:pStyle w:val="Normal"/>
              <w:spacing w:before="0" w:after="40"/>
              <w:jc w:val="start"/>
              <w:rPr/>
            </w:pPr>
            <w:r>
              <w:rPr>
                <w:rFonts w:eastAsia="Arial" w:cs="Arial"/>
                <w:color w:val="1C2A4A"/>
                <w:sz w:val="24"/>
                <w:szCs w:val="24"/>
              </w:rPr>
              <w:t>Step 2: Missing → Mean / Median / Mode / Drop Column</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Step 3: Categorical → lowercase + strip whitespace</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Step 4: Encode → Label Encoding / One Hot</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Step 5: Outliers → Cap (Winsorize) / Remove Rows</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Step 6: Scale → Standard / MinMax / Robust / MaxAbs</w:t>
            </w:r>
          </w:p>
          <w:p>
            <w:pPr>
              <w:pStyle w:val="Normal"/>
              <w:spacing w:before="0" w:after="40"/>
              <w:jc w:val="start"/>
              <w:rPr/>
            </w:pPr>
            <w:r>
              <w:rPr>
                <w:rFonts w:eastAsia="Arial" w:cs="Arial"/>
                <w:color w:val="1C2A4A"/>
                <w:sz w:val="24"/>
                <w:szCs w:val="24"/>
              </w:rPr>
              <w:t>--------------------------------------------------</w:t>
            </w:r>
          </w:p>
          <w:p>
            <w:pPr>
              <w:pStyle w:val="Normal"/>
              <w:spacing w:before="0" w:after="40"/>
              <w:jc w:val="start"/>
              <w:rPr/>
            </w:pPr>
            <w:r>
              <w:rPr>
                <w:rFonts w:eastAsia="Arial" w:cs="Arial"/>
                <w:color w:val="1C2A4A"/>
                <w:sz w:val="24"/>
                <w:szCs w:val="24"/>
              </w:rPr>
              <w:t>Reset: restores original upload at any time</w:t>
            </w:r>
          </w:p>
          <w:p>
            <w:pPr>
              <w:pStyle w:val="Normal"/>
              <w:spacing w:before="0" w:after="40"/>
              <w:jc w:val="start"/>
              <w:rPr/>
            </w:pPr>
            <w:r>
              <w:rPr>
                <w:rFonts w:eastAsia="Arial" w:cs="Arial"/>
                <w:color w:val="1C2A4A"/>
                <w:sz w:val="24"/>
                <w:szCs w:val="24"/>
              </w:rPr>
              <w:t>-------------------------------------------------</w:t>
            </w:r>
          </w:p>
          <w:p>
            <w:pPr>
              <w:pStyle w:val="Normal"/>
              <w:spacing w:before="0" w:after="0"/>
              <w:jc w:val="start"/>
              <w:rPr/>
            </w:pPr>
            <w:r>
              <w:rPr>
                <w:rFonts w:eastAsia="Arial" w:cs="Arial"/>
                <w:color w:val="1C2A4A"/>
                <w:sz w:val="24"/>
                <w:szCs w:val="24"/>
              </w:rPr>
              <w:t>Export: Download Processed CSV</w:t>
            </w:r>
          </w:p>
        </w:tc>
      </w:tr>
      <w:tr>
        <w:trPr>
          <w:trHeight w:val="849" w:hRule="atLeast"/>
        </w:trPr>
        <w:tc>
          <w:tcPr>
            <w:tcW w:w="9660" w:type="dxa"/>
            <w:gridSpan w:val="2"/>
            <w:tcBorders>
              <w:top w:val="single" w:sz="2" w:space="0" w:color="D0DAF5"/>
              <w:start w:val="single" w:sz="2" w:space="0" w:color="D0DAF5"/>
              <w:bottom w:val="single" w:sz="2" w:space="0" w:color="D0DAF5"/>
              <w:end w:val="single" w:sz="2" w:space="0" w:color="D0DAF5"/>
            </w:tcBorders>
            <w:shd w:fill="FFF8EE" w:val="clear"/>
          </w:tcPr>
          <w:p>
            <w:pPr>
              <w:pStyle w:val="Normal"/>
              <w:spacing w:before="0" w:after="80"/>
              <w:rPr>
                <w:sz w:val="24"/>
                <w:szCs w:val="24"/>
              </w:rPr>
            </w:pPr>
            <w:r>
              <w:rPr>
                <w:rFonts w:eastAsia="Arial" w:cs="Arial"/>
                <w:b/>
                <w:bCs/>
                <w:color w:val="F5A623"/>
                <w:sz w:val="24"/>
                <w:szCs w:val="24"/>
              </w:rPr>
              <w:t>SUPPORTED FORMATS</w:t>
            </w:r>
          </w:p>
          <w:p>
            <w:pPr>
              <w:pStyle w:val="Normal"/>
              <w:spacing w:before="0" w:after="0"/>
              <w:rPr>
                <w:sz w:val="24"/>
                <w:szCs w:val="24"/>
              </w:rPr>
            </w:pPr>
            <w:r>
              <w:rPr>
                <w:rFonts w:eastAsia="Arial" w:cs="Arial"/>
                <w:color w:val="1C2A4A"/>
                <w:sz w:val="24"/>
                <w:szCs w:val="24"/>
              </w:rPr>
              <w:t>CSV (.csv)  |  TSV (.tsv / .txt)  |  Excel (.xlsx / .xls)  |  JSON (.json)</w:t>
            </w:r>
          </w:p>
        </w:tc>
      </w:tr>
    </w:tbl>
    <w:p>
      <w:pPr>
        <w:pStyle w:val="Normal"/>
        <w:spacing w:before="200" w:after="60"/>
        <w:rPr/>
      </w:pPr>
      <w:r>
        <w:rPr/>
      </w:r>
    </w:p>
    <w:p>
      <w:pPr>
        <w:pStyle w:val="Normal"/>
        <w:pBdr>
          <w:bottom w:val="single" w:sz="4" w:space="1" w:color="D0DAF5"/>
        </w:pBdr>
        <w:spacing w:before="120" w:after="120"/>
        <w:rPr/>
      </w:pPr>
      <w:r>
        <w:rPr/>
      </w:r>
    </w:p>
    <w:p>
      <w:pPr>
        <w:pStyle w:val="Normal"/>
        <w:spacing w:before="80" w:after="40"/>
        <w:jc w:val="center"/>
        <w:rPr/>
      </w:pPr>
      <w:r>
        <w:rPr>
          <w:rFonts w:eastAsia="Arial" w:cs="Arial"/>
          <w:i/>
          <w:iCs/>
          <w:color w:val="6B7FA3"/>
          <w:sz w:val="18"/>
          <w:szCs w:val="18"/>
        </w:rPr>
        <w:t>Data Quality Maintenance Tool  ·  Feature &amp; Technical Report  ·  April 2026</w:t>
      </w:r>
    </w:p>
    <w:sectPr>
      <w:headerReference w:type="default" r:id="rId2"/>
      <w:footerReference w:type="default" r:id="rId3"/>
      <w:type w:val="nextPage"/>
      <w:pgSz w:w="12240" w:h="15840"/>
      <w:pgMar w:left="1260" w:right="126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roman"/>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0DAF5"/>
      </w:pBdr>
      <w:tabs>
        <w:tab w:val="clear" w:pos="720"/>
        <w:tab w:val="right" w:pos="9026" w:leader="none"/>
      </w:tabs>
      <w:spacing w:before="0" w:after="0"/>
      <w:rPr/>
    </w:pPr>
    <w:r>
      <w:rPr>
        <w:rFonts w:eastAsia="Arial" w:cs="Arial"/>
        <w:color w:val="6B7FA3"/>
        <w:sz w:val="16"/>
        <w:szCs w:val="16"/>
      </w:rPr>
      <w:t>Confidential — Internal Documentation</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E4DB7"/>
      </w:pBdr>
      <w:tabs>
        <w:tab w:val="clear" w:pos="720"/>
        <w:tab w:val="right" w:pos="9026" w:leader="none"/>
      </w:tabs>
      <w:spacing w:before="0" w:after="0"/>
      <w:rPr>
        <w:rFonts w:ascii="Arial" w:hAnsi="Arial" w:eastAsia="Arial" w:cs="Arial"/>
        <w:color w:val="6B7FA3"/>
        <w:sz w:val="18"/>
        <w:szCs w:val="18"/>
      </w:rPr>
    </w:pPr>
    <w:r>
      <w:rPr>
        <w:rFonts w:eastAsia="Arial" w:cs="Arial"/>
        <w:color w:val="6B7FA3"/>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0B1A3E"/>
      <w:sz w:val="32"/>
      <w:szCs w:val="32"/>
    </w:rPr>
  </w:style>
  <w:style w:type="paragraph" w:styleId="Heading2">
    <w:name w:val="Heading 2"/>
    <w:basedOn w:val="Heading"/>
    <w:qFormat/>
    <w:pPr>
      <w:spacing w:before="280" w:after="120"/>
      <w:outlineLvl w:val="1"/>
    </w:pPr>
    <w:rPr>
      <w:rFonts w:ascii="Arial" w:hAnsi="Arial" w:eastAsia="Arial" w:cs="Arial"/>
      <w:b/>
      <w:bCs/>
      <w:color w:val="1E4DB7"/>
      <w:sz w:val="26"/>
      <w:szCs w:val="26"/>
    </w:rPr>
  </w:style>
  <w:style w:type="paragraph" w:styleId="Heading3">
    <w:name w:val="Heading 3"/>
    <w:basedOn w:val="Heading"/>
    <w:qFormat/>
    <w:pPr>
      <w:spacing w:before="200" w:after="80"/>
      <w:outlineLvl w:val="2"/>
    </w:pPr>
    <w:rPr>
      <w:rFonts w:ascii="Arial" w:hAnsi="Arial" w:eastAsia="Arial" w:cs="Arial"/>
      <w:b/>
      <w:bCs/>
      <w:color w:val="1A2235"/>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LibreOffice/7.6.4.1$Windows_X86_64 LibreOffice_project/e19e193f88cd6c0525a17fb7a176ed8e6a3e2aa1</Application>
  <AppVersion>15.0000</AppVersion>
  <Pages>15</Pages>
  <Words>2633</Words>
  <Characters>16112</Characters>
  <CharactersWithSpaces>18422</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2026-04-28T14:20:48Z</dcterms:created>
  <dc:creator/>
  <dc:description/>
  <dc:language>en-US</dc:language>
  <cp:lastModifiedBy/>
  <cp:lastPrinted>2026-04-28T00:32:15Z</cp:lastPrinted>
  <dcterms:modified xsi:type="dcterms:W3CDTF">2026-04-28T14:35:49Z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