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spacing w:before="200" w:after="80"/>
        <w:jc w:val="center"/>
        <w:rPr/>
      </w:pPr>
      <w:r>
        <w:rPr>
          <w:rFonts w:eastAsia="Arial" w:cs="Arial"/>
          <w:b/>
          <w:bCs/>
          <w:color w:val="1F4E79"/>
          <w:sz w:val="28"/>
          <w:szCs w:val="28"/>
        </w:rPr>
        <w:t>GUJARAT TECHNOLOGICAL UNIVERSITY</w:t>
      </w:r>
    </w:p>
    <w:p>
      <w:pPr>
        <w:pStyle w:val="Normal"/>
        <w:spacing w:before="60" w:after="300"/>
        <w:jc w:val="center"/>
        <w:rPr/>
      </w:pPr>
      <w:r>
        <w:rPr>
          <w:rFonts w:eastAsia="Arial" w:cs="Arial"/>
          <w:color w:val="444444"/>
          <w:sz w:val="24"/>
          <w:szCs w:val="24"/>
        </w:rPr>
        <w:t>Department of Data Science</w:t>
      </w:r>
    </w:p>
    <w:p>
      <w:pPr>
        <w:pStyle w:val="Normal"/>
        <w:spacing w:before="60" w:after="300"/>
        <w:jc w:val="center"/>
        <w:rPr>
          <w:rFonts w:ascii="Arial" w:hAnsi="Arial" w:eastAsia="Arial" w:cs="Arial"/>
          <w:color w:val="444444"/>
          <w:sz w:val="24"/>
          <w:szCs w:val="24"/>
        </w:rPr>
      </w:pPr>
      <w:r>
        <w:rPr/>
      </w:r>
    </w:p>
    <w:p>
      <w:pPr>
        <w:pStyle w:val="Normal"/>
        <w:spacing w:before="400" w:after="200"/>
        <w:jc w:val="center"/>
        <w:rPr/>
      </w:pPr>
      <w:r>
        <w:rPr>
          <w:rFonts w:eastAsia="Arial" w:cs="Arial"/>
          <w:b/>
          <w:bCs/>
          <w:color w:val="1F4E79"/>
          <w:sz w:val="48"/>
          <w:szCs w:val="48"/>
        </w:rPr>
        <w:t>CASE STUDY REPORT</w:t>
      </w:r>
    </w:p>
    <w:p>
      <w:pPr>
        <w:pStyle w:val="Normal"/>
        <w:spacing w:before="100" w:after="500"/>
        <w:jc w:val="center"/>
        <w:rPr/>
      </w:pPr>
      <w:r>
        <w:rPr>
          <w:rFonts w:eastAsia="Arial" w:cs="Arial"/>
          <w:b/>
          <w:bCs/>
          <w:color w:val="2E74B5"/>
          <w:sz w:val="28"/>
          <w:szCs w:val="28"/>
        </w:rPr>
        <w:t>Mean, Median &amp; Mode: Salary Representation in Labour Disputes</w:t>
      </w:r>
    </w:p>
    <w:p>
      <w:pPr>
        <w:pStyle w:val="Normal"/>
        <w:rPr/>
      </w:pPr>
      <w:r>
        <w:rPr/>
      </w:r>
    </w:p>
    <w:p>
      <w:pPr>
        <w:pStyle w:val="Normal"/>
        <w:rPr/>
      </w:pPr>
      <w:r>
        <w:rPr/>
      </w:r>
    </w:p>
    <w:tbl>
      <w:tblPr>
        <w:tblW w:w="7200" w:type="dxa"/>
        <w:jc w:val="left"/>
        <w:tblInd w:w="0" w:type="dxa"/>
        <w:tblLayout w:type="fixed"/>
        <w:tblCellMar>
          <w:top w:w="120" w:type="dxa"/>
          <w:left w:w="200" w:type="dxa"/>
          <w:bottom w:w="120" w:type="dxa"/>
          <w:right w:w="200" w:type="dxa"/>
        </w:tblCellMar>
      </w:tblPr>
      <w:tblGrid>
        <w:gridCol w:w="2880"/>
        <w:gridCol w:w="4319"/>
      </w:tblGrid>
      <w:tr>
        <w:trPr/>
        <w:tc>
          <w:tcPr>
            <w:tcW w:w="2880"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22"/>
                <w:szCs w:val="22"/>
              </w:rPr>
              <w:t>Name</w:t>
            </w:r>
          </w:p>
        </w:tc>
        <w:tc>
          <w:tcPr>
            <w:tcW w:w="4319" w:type="dxa"/>
            <w:tcBorders>
              <w:top w:val="single" w:sz="2" w:space="0" w:color="CCCCCC"/>
              <w:left w:val="single" w:sz="2" w:space="0" w:color="CCCCCC"/>
              <w:bottom w:val="single" w:sz="2" w:space="0" w:color="CCCCCC"/>
              <w:right w:val="single" w:sz="2" w:space="0" w:color="CCCCCC"/>
            </w:tcBorders>
            <w:shd w:fill="EBF3FB" w:val="clear"/>
          </w:tcPr>
          <w:p>
            <w:pPr>
              <w:pStyle w:val="Normal"/>
              <w:rPr/>
            </w:pPr>
            <w:r>
              <w:rPr>
                <w:rFonts w:eastAsia="Arial" w:cs="Arial"/>
                <w:b/>
                <w:bCs/>
                <w:sz w:val="22"/>
                <w:szCs w:val="22"/>
              </w:rPr>
              <w:t>Nipun Patel</w:t>
            </w:r>
          </w:p>
        </w:tc>
      </w:tr>
      <w:tr>
        <w:trPr/>
        <w:tc>
          <w:tcPr>
            <w:tcW w:w="2880"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22"/>
                <w:szCs w:val="22"/>
              </w:rPr>
              <w:t>Enrollment No.</w:t>
            </w:r>
          </w:p>
        </w:tc>
        <w:tc>
          <w:tcPr>
            <w:tcW w:w="431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sz w:val="22"/>
                <w:szCs w:val="22"/>
              </w:rPr>
              <w:t>2504070500009</w:t>
            </w:r>
          </w:p>
        </w:tc>
      </w:tr>
      <w:tr>
        <w:trPr/>
        <w:tc>
          <w:tcPr>
            <w:tcW w:w="2880"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22"/>
                <w:szCs w:val="22"/>
              </w:rPr>
              <w:t>Program</w:t>
            </w:r>
          </w:p>
        </w:tc>
        <w:tc>
          <w:tcPr>
            <w:tcW w:w="4319" w:type="dxa"/>
            <w:tcBorders>
              <w:top w:val="single" w:sz="2" w:space="0" w:color="CCCCCC"/>
              <w:left w:val="single" w:sz="2" w:space="0" w:color="CCCCCC"/>
              <w:bottom w:val="single" w:sz="2" w:space="0" w:color="CCCCCC"/>
              <w:right w:val="single" w:sz="2" w:space="0" w:color="CCCCCC"/>
            </w:tcBorders>
            <w:shd w:fill="EBF3FB" w:val="clear"/>
          </w:tcPr>
          <w:p>
            <w:pPr>
              <w:pStyle w:val="Normal"/>
              <w:rPr/>
            </w:pPr>
            <w:r>
              <w:rPr>
                <w:rFonts w:eastAsia="Arial" w:cs="Arial"/>
                <w:b w:val="false"/>
                <w:bCs w:val="false"/>
                <w:sz w:val="22"/>
                <w:szCs w:val="22"/>
              </w:rPr>
              <w:t>M.Sc. Data Science</w:t>
            </w:r>
          </w:p>
        </w:tc>
      </w:tr>
      <w:tr>
        <w:trPr/>
        <w:tc>
          <w:tcPr>
            <w:tcW w:w="2880"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22"/>
                <w:szCs w:val="22"/>
              </w:rPr>
              <w:t>Semester</w:t>
            </w:r>
          </w:p>
        </w:tc>
        <w:tc>
          <w:tcPr>
            <w:tcW w:w="431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sz w:val="22"/>
                <w:szCs w:val="22"/>
              </w:rPr>
              <w:t>Semester II</w:t>
            </w:r>
          </w:p>
        </w:tc>
      </w:tr>
      <w:tr>
        <w:trPr/>
        <w:tc>
          <w:tcPr>
            <w:tcW w:w="2880"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22"/>
                <w:szCs w:val="22"/>
              </w:rPr>
              <w:t>Subject</w:t>
            </w:r>
          </w:p>
        </w:tc>
        <w:tc>
          <w:tcPr>
            <w:tcW w:w="4319" w:type="dxa"/>
            <w:tcBorders>
              <w:top w:val="single" w:sz="2" w:space="0" w:color="CCCCCC"/>
              <w:left w:val="single" w:sz="2" w:space="0" w:color="CCCCCC"/>
              <w:bottom w:val="single" w:sz="2" w:space="0" w:color="CCCCCC"/>
              <w:right w:val="single" w:sz="2" w:space="0" w:color="CCCCCC"/>
            </w:tcBorders>
            <w:shd w:fill="EBF3FB" w:val="clear"/>
          </w:tcPr>
          <w:p>
            <w:pPr>
              <w:pStyle w:val="Normal"/>
              <w:rPr/>
            </w:pPr>
            <w:r>
              <w:rPr>
                <w:rFonts w:eastAsia="Arial" w:cs="Arial"/>
                <w:b w:val="false"/>
                <w:bCs w:val="false"/>
                <w:sz w:val="22"/>
                <w:szCs w:val="22"/>
              </w:rPr>
              <w:t>Data Analytics Using Tools</w:t>
            </w:r>
          </w:p>
        </w:tc>
      </w:tr>
      <w:tr>
        <w:trPr/>
        <w:tc>
          <w:tcPr>
            <w:tcW w:w="2880" w:type="dxa"/>
            <w:tcBorders>
              <w:top w:val="single" w:sz="2" w:space="0" w:color="CCCCCC"/>
              <w:left w:val="single" w:sz="2" w:space="0" w:color="CCCCCC"/>
              <w:bottom w:val="single" w:sz="2" w:space="0" w:color="CCCCCC"/>
              <w:right w:val="single" w:sz="2" w:space="0" w:color="CCCCCC"/>
            </w:tcBorders>
            <w:shd w:fill="1F4E79" w:val="clear"/>
          </w:tcPr>
          <w:p>
            <w:pPr>
              <w:pStyle w:val="Normal"/>
              <w:rPr/>
            </w:pPr>
            <w:r>
              <w:rPr>
                <w:rFonts w:eastAsia="Arial" w:cs="Arial"/>
                <w:b/>
                <w:bCs/>
                <w:color w:val="FFFFFF"/>
                <w:sz w:val="22"/>
                <w:szCs w:val="22"/>
              </w:rPr>
              <w:t>Academic Year</w:t>
            </w:r>
          </w:p>
        </w:tc>
        <w:tc>
          <w:tcPr>
            <w:tcW w:w="431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b w:val="false"/>
                <w:bCs w:val="false"/>
                <w:sz w:val="22"/>
                <w:szCs w:val="22"/>
              </w:rPr>
              <w:t>2025-2026</w:t>
            </w:r>
          </w:p>
        </w:tc>
      </w:tr>
    </w:tbl>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jc w:val="center"/>
        <w:rPr/>
      </w:pPr>
      <w:r>
        <w:rPr>
          <w:rFonts w:eastAsia="Arial" w:cs="Arial"/>
          <w:color w:val="888888"/>
          <w:sz w:val="20"/>
          <w:szCs w:val="20"/>
        </w:rPr>
        <w:t>April 2026</w:t>
      </w:r>
    </w:p>
    <w:p>
      <w:pPr>
        <w:sectPr>
          <w:type w:val="nextPage"/>
          <w:pgSz w:w="12240" w:h="15840"/>
          <w:pgMar w:left="1440" w:right="1440" w:gutter="0" w:header="0" w:top="1440" w:footer="0" w:bottom="1440"/>
          <w:pgNumType w:fmt="decimal"/>
          <w:formProt w:val="false"/>
          <w:textDirection w:val="lrTb"/>
          <w:docGrid w:type="default" w:linePitch="360" w:charSpace="4096"/>
        </w:sectPr>
        <w:pStyle w:val="Normal"/>
        <w:rPr/>
      </w:pPr>
      <w:r>
        <w:rPr/>
      </w:r>
      <w:r>
        <w:br w:type="page"/>
      </w:r>
    </w:p>
    <w:p>
      <w:pPr>
        <w:pStyle w:val="Heading1"/>
        <w:spacing w:before="360" w:after="180"/>
        <w:rPr/>
      </w:pPr>
      <w:r>
        <w:rPr>
          <w:rFonts w:eastAsia="Arial" w:cs="Arial" w:ascii="Arial" w:hAnsi="Arial"/>
          <w:b/>
          <w:bCs/>
          <w:color w:val="1F4E79"/>
          <w:sz w:val="32"/>
          <w:szCs w:val="32"/>
        </w:rPr>
        <w:t>1. Introduction</w:t>
      </w:r>
    </w:p>
    <w:p>
      <w:pPr>
        <w:pStyle w:val="Normal"/>
        <w:spacing w:lineRule="exact" w:line="360" w:before="100" w:after="100"/>
        <w:jc w:val="both"/>
        <w:rPr/>
      </w:pPr>
      <w:r>
        <w:rPr>
          <w:rFonts w:eastAsia="Arial" w:cs="Arial"/>
          <w:sz w:val="22"/>
          <w:szCs w:val="22"/>
        </w:rPr>
        <w:t>Statistics is a powerful tool that shapes decisions in business, policy, and everyday life. However, the same dataset can tell very different stories depending on which statistical measure is chosen to represent it. This case study examines a real-world scenario involving salary disputes between a company's management and its employees — a situation that perfectly illustrates how measures of central tendency (mean, median, and mode) can either reveal or conceal the truth.</w:t>
      </w:r>
    </w:p>
    <w:p>
      <w:pPr>
        <w:pStyle w:val="Normal"/>
        <w:rPr/>
      </w:pPr>
      <w:r>
        <w:rPr/>
      </w:r>
    </w:p>
    <w:p>
      <w:pPr>
        <w:pStyle w:val="Normal"/>
        <w:spacing w:lineRule="exact" w:line="360" w:before="100" w:after="100"/>
        <w:jc w:val="both"/>
        <w:rPr/>
      </w:pPr>
      <w:r>
        <w:rPr>
          <w:rFonts w:eastAsia="Arial" w:cs="Arial"/>
          <w:sz w:val="22"/>
          <w:szCs w:val="22"/>
        </w:rPr>
        <w:t>This report explores how data analytics tools and statistical reasoning can be applied to expose misleading representations of income and advocate for fair wage transparency. The case is particularly relevant for labour disputes, corporate governance, and social justice analytics.</w:t>
      </w:r>
    </w:p>
    <w:p>
      <w:pPr>
        <w:pStyle w:val="Normal"/>
        <w:rPr/>
      </w:pPr>
      <w:r>
        <w:rPr/>
      </w:r>
    </w:p>
    <w:p>
      <w:pPr>
        <w:pStyle w:val="Heading1"/>
        <w:spacing w:before="360" w:after="180"/>
        <w:rPr/>
      </w:pPr>
      <w:r>
        <w:rPr>
          <w:rFonts w:eastAsia="Arial" w:cs="Arial" w:ascii="Arial" w:hAnsi="Arial"/>
          <w:b/>
          <w:bCs/>
          <w:color w:val="1F4E79"/>
          <w:sz w:val="32"/>
          <w:szCs w:val="32"/>
        </w:rPr>
        <w:t>2. Background of the Case</w:t>
      </w:r>
    </w:p>
    <w:p>
      <w:pPr>
        <w:pStyle w:val="Normal"/>
        <w:spacing w:lineRule="exact" w:line="360" w:before="100" w:after="100"/>
        <w:jc w:val="both"/>
        <w:rPr/>
      </w:pPr>
      <w:r>
        <w:rPr>
          <w:rFonts w:eastAsia="Arial" w:cs="Arial"/>
          <w:sz w:val="22"/>
          <w:szCs w:val="22"/>
        </w:rPr>
        <w:t>A manufacturing company publicly announced that its average (mean) employee salary stands at $27,000 per year, implying a reasonably comfortable pay structure for its workforce. This figure was prominently cited in:</w:t>
      </w:r>
    </w:p>
    <w:p>
      <w:pPr>
        <w:pStyle w:val="Normal"/>
        <w:rPr/>
      </w:pPr>
      <w:r>
        <w:rPr/>
      </w:r>
    </w:p>
    <w:p>
      <w:pPr>
        <w:pStyle w:val="ListParagraph"/>
        <w:numPr>
          <w:ilvl w:val="0"/>
          <w:numId w:val="3"/>
        </w:numPr>
        <w:spacing w:lineRule="exact" w:line="320" w:before="80" w:after="80"/>
        <w:rPr/>
      </w:pPr>
      <w:r>
        <w:rPr>
          <w:rFonts w:eastAsia="Arial" w:cs="Arial"/>
          <w:sz w:val="22"/>
          <w:szCs w:val="22"/>
        </w:rPr>
        <w:t>Annual shareholder reports</w:t>
      </w:r>
    </w:p>
    <w:p>
      <w:pPr>
        <w:pStyle w:val="ListParagraph"/>
        <w:numPr>
          <w:ilvl w:val="0"/>
          <w:numId w:val="1"/>
        </w:numPr>
        <w:spacing w:lineRule="exact" w:line="320" w:before="80" w:after="80"/>
        <w:rPr/>
      </w:pPr>
      <w:r>
        <w:rPr>
          <w:rFonts w:eastAsia="Arial" w:cs="Arial"/>
          <w:sz w:val="22"/>
          <w:szCs w:val="22"/>
        </w:rPr>
        <w:t>Press releases and media statements</w:t>
      </w:r>
    </w:p>
    <w:p>
      <w:pPr>
        <w:pStyle w:val="ListParagraph"/>
        <w:numPr>
          <w:ilvl w:val="0"/>
          <w:numId w:val="1"/>
        </w:numPr>
        <w:spacing w:lineRule="exact" w:line="320" w:before="80" w:after="80"/>
        <w:rPr/>
      </w:pPr>
      <w:r>
        <w:rPr>
          <w:rFonts w:eastAsia="Arial" w:cs="Arial"/>
          <w:sz w:val="22"/>
          <w:szCs w:val="22"/>
        </w:rPr>
        <w:t>Recruitment brochures to attract new talent</w:t>
      </w:r>
    </w:p>
    <w:p>
      <w:pPr>
        <w:pStyle w:val="ListParagraph"/>
        <w:numPr>
          <w:ilvl w:val="0"/>
          <w:numId w:val="1"/>
        </w:numPr>
        <w:spacing w:lineRule="exact" w:line="320" w:before="80" w:after="80"/>
        <w:rPr/>
      </w:pPr>
      <w:r>
        <w:rPr>
          <w:rFonts w:eastAsia="Arial" w:cs="Arial"/>
          <w:sz w:val="22"/>
          <w:szCs w:val="22"/>
        </w:rPr>
        <w:t>Government regulatory filings</w:t>
      </w:r>
    </w:p>
    <w:p>
      <w:pPr>
        <w:pStyle w:val="Normal"/>
        <w:rPr/>
      </w:pPr>
      <w:r>
        <w:rPr/>
      </w:r>
    </w:p>
    <w:p>
      <w:pPr>
        <w:pStyle w:val="Normal"/>
        <w:spacing w:lineRule="exact" w:line="360" w:before="100" w:after="100"/>
        <w:jc w:val="both"/>
        <w:rPr/>
      </w:pPr>
      <w:r>
        <w:rPr>
          <w:rFonts w:eastAsia="Arial" w:cs="Arial"/>
          <w:sz w:val="22"/>
          <w:szCs w:val="22"/>
        </w:rPr>
        <w:t>However, the employees — represented by a union — challenged this claim. Workers reported struggling to meet basic living expenses, with the vast majority earning only $12,000 per year. The union argued that the company's use of mean salary was deliberately misleading, inflated by the disproportionately high compensation of a small number of top executives.</w:t>
      </w:r>
    </w:p>
    <w:p>
      <w:pPr>
        <w:pStyle w:val="Normal"/>
        <w:rPr/>
      </w:pPr>
      <w:r>
        <w:rPr/>
      </w:r>
    </w:p>
    <w:p>
      <w:pPr>
        <w:pStyle w:val="Normal"/>
        <w:spacing w:lineRule="exact" w:line="360" w:before="100" w:after="100"/>
        <w:jc w:val="both"/>
        <w:rPr/>
      </w:pPr>
      <w:r>
        <w:rPr>
          <w:rFonts w:eastAsia="Arial" w:cs="Arial"/>
          <w:sz w:val="22"/>
          <w:szCs w:val="22"/>
        </w:rPr>
        <w:t>This conflict raises a fundamental question in data analytics: Which statistical measure most honestly and accurately represents the 'typical' salary of an employee in this organisation?</w:t>
      </w:r>
    </w:p>
    <w:p>
      <w:pPr>
        <w:pStyle w:val="Normal"/>
        <w:rPr/>
      </w:pPr>
      <w:r>
        <w:rPr/>
      </w:r>
    </w:p>
    <w:p>
      <w:pPr>
        <w:pStyle w:val="Heading1"/>
        <w:spacing w:before="360" w:after="180"/>
        <w:rPr/>
      </w:pPr>
      <w:r>
        <w:rPr>
          <w:rFonts w:eastAsia="Arial" w:cs="Arial" w:ascii="Arial" w:hAnsi="Arial"/>
          <w:b/>
          <w:bCs/>
          <w:color w:val="1F4E79"/>
          <w:sz w:val="32"/>
          <w:szCs w:val="32"/>
        </w:rPr>
        <w:t>3. Salary Data Overview</w:t>
      </w:r>
    </w:p>
    <w:p>
      <w:pPr>
        <w:pStyle w:val="Normal"/>
        <w:spacing w:lineRule="exact" w:line="360" w:before="100" w:after="100"/>
        <w:jc w:val="both"/>
        <w:rPr/>
      </w:pPr>
      <w:r>
        <w:rPr>
          <w:rFonts w:eastAsia="Arial" w:cs="Arial"/>
          <w:sz w:val="22"/>
          <w:szCs w:val="22"/>
        </w:rPr>
        <w:t>The following table presents the salary structure of all 10 employees in the organisation, from general workers to top executives:</w:t>
      </w:r>
    </w:p>
    <w:p>
      <w:pPr>
        <w:pStyle w:val="Normal"/>
        <w:rPr/>
      </w:pPr>
      <w:r>
        <w:rPr/>
      </w:r>
    </w:p>
    <w:tbl>
      <w:tblPr>
        <w:tblW w:w="9360" w:type="dxa"/>
        <w:jc w:val="left"/>
        <w:tblInd w:w="0" w:type="dxa"/>
        <w:tblLayout w:type="fixed"/>
        <w:tblCellMar>
          <w:top w:w="120" w:type="dxa"/>
          <w:left w:w="160" w:type="dxa"/>
          <w:bottom w:w="120" w:type="dxa"/>
          <w:right w:w="160" w:type="dxa"/>
        </w:tblCellMar>
      </w:tblPr>
      <w:tblGrid>
        <w:gridCol w:w="3119"/>
        <w:gridCol w:w="2340"/>
        <w:gridCol w:w="2340"/>
        <w:gridCol w:w="1560"/>
      </w:tblGrid>
      <w:tr>
        <w:trPr>
          <w:tblHeader w:val="true"/>
        </w:trPr>
        <w:tc>
          <w:tcPr>
            <w:tcW w:w="3119" w:type="dxa"/>
            <w:tcBorders>
              <w:top w:val="single" w:sz="4" w:space="0" w:color="1F4E79"/>
              <w:left w:val="single" w:sz="4" w:space="0" w:color="1F4E79"/>
              <w:bottom w:val="single" w:sz="4" w:space="0" w:color="1F4E79"/>
              <w:right w:val="single" w:sz="4" w:space="0" w:color="1F4E79"/>
            </w:tcBorders>
            <w:shd w:fill="1F4E79" w:val="clear"/>
          </w:tcPr>
          <w:p>
            <w:pPr>
              <w:pStyle w:val="Normal"/>
              <w:jc w:val="center"/>
              <w:rPr/>
            </w:pPr>
            <w:r>
              <w:rPr>
                <w:rFonts w:eastAsia="Arial" w:cs="Arial"/>
                <w:b/>
                <w:bCs/>
                <w:color w:val="FFFFFF"/>
                <w:sz w:val="22"/>
                <w:szCs w:val="22"/>
              </w:rPr>
              <w:t>Employee</w:t>
            </w:r>
          </w:p>
        </w:tc>
        <w:tc>
          <w:tcPr>
            <w:tcW w:w="2340" w:type="dxa"/>
            <w:tcBorders>
              <w:top w:val="single" w:sz="4" w:space="0" w:color="1F4E79"/>
              <w:left w:val="single" w:sz="4" w:space="0" w:color="1F4E79"/>
              <w:bottom w:val="single" w:sz="4" w:space="0" w:color="1F4E79"/>
              <w:right w:val="single" w:sz="4" w:space="0" w:color="1F4E79"/>
            </w:tcBorders>
            <w:shd w:fill="1F4E79" w:val="clear"/>
          </w:tcPr>
          <w:p>
            <w:pPr>
              <w:pStyle w:val="Normal"/>
              <w:jc w:val="center"/>
              <w:rPr/>
            </w:pPr>
            <w:r>
              <w:rPr>
                <w:rFonts w:eastAsia="Arial" w:cs="Arial"/>
                <w:b/>
                <w:bCs/>
                <w:color w:val="FFFFFF"/>
                <w:sz w:val="22"/>
                <w:szCs w:val="22"/>
              </w:rPr>
              <w:t>Role</w:t>
            </w:r>
          </w:p>
        </w:tc>
        <w:tc>
          <w:tcPr>
            <w:tcW w:w="2340" w:type="dxa"/>
            <w:tcBorders>
              <w:top w:val="single" w:sz="4" w:space="0" w:color="1F4E79"/>
              <w:left w:val="single" w:sz="4" w:space="0" w:color="1F4E79"/>
              <w:bottom w:val="single" w:sz="4" w:space="0" w:color="1F4E79"/>
              <w:right w:val="single" w:sz="4" w:space="0" w:color="1F4E79"/>
            </w:tcBorders>
            <w:shd w:fill="1F4E79" w:val="clear"/>
          </w:tcPr>
          <w:p>
            <w:pPr>
              <w:pStyle w:val="Normal"/>
              <w:jc w:val="center"/>
              <w:rPr/>
            </w:pPr>
            <w:r>
              <w:rPr>
                <w:rFonts w:eastAsia="Arial" w:cs="Arial"/>
                <w:b/>
                <w:bCs/>
                <w:color w:val="FFFFFF"/>
                <w:sz w:val="22"/>
                <w:szCs w:val="22"/>
              </w:rPr>
              <w:t>Annual Salary ($)</w:t>
            </w:r>
          </w:p>
        </w:tc>
        <w:tc>
          <w:tcPr>
            <w:tcW w:w="1560" w:type="dxa"/>
            <w:tcBorders>
              <w:top w:val="single" w:sz="4" w:space="0" w:color="1F4E79"/>
              <w:left w:val="single" w:sz="4" w:space="0" w:color="1F4E79"/>
              <w:bottom w:val="single" w:sz="4" w:space="0" w:color="1F4E79"/>
              <w:right w:val="single" w:sz="4" w:space="0" w:color="1F4E79"/>
            </w:tcBorders>
            <w:shd w:fill="1F4E79" w:val="clear"/>
          </w:tcPr>
          <w:p>
            <w:pPr>
              <w:pStyle w:val="Normal"/>
              <w:jc w:val="center"/>
              <w:rPr/>
            </w:pPr>
            <w:r>
              <w:rPr>
                <w:rFonts w:eastAsia="Arial" w:cs="Arial"/>
                <w:b/>
                <w:bCs/>
                <w:color w:val="FFFFFF"/>
                <w:sz w:val="22"/>
                <w:szCs w:val="22"/>
              </w:rPr>
              <w:t>Notes</w:t>
            </w:r>
          </w:p>
        </w:tc>
      </w:tr>
      <w:tr>
        <w:trPr/>
        <w:tc>
          <w:tcPr>
            <w:tcW w:w="3119" w:type="dxa"/>
            <w:tcBorders>
              <w:top w:val="single" w:sz="2" w:space="0" w:color="CCCCCC"/>
              <w:left w:val="single" w:sz="2" w:space="0" w:color="CCCCCC"/>
              <w:bottom w:val="single" w:sz="2" w:space="0" w:color="CCCCCC"/>
              <w:right w:val="single" w:sz="2" w:space="0" w:color="CCCCCC"/>
            </w:tcBorders>
            <w:shd w:fill="EBF3FB" w:val="clear"/>
            <w:tcMar>
              <w:top w:w="80" w:type="dxa"/>
              <w:bottom w:w="80" w:type="dxa"/>
            </w:tcMar>
          </w:tcPr>
          <w:p>
            <w:pPr>
              <w:pStyle w:val="Normal"/>
              <w:jc w:val="left"/>
              <w:rPr/>
            </w:pPr>
            <w:r>
              <w:rPr>
                <w:rFonts w:eastAsia="Arial" w:cs="Arial"/>
                <w:b w:val="false"/>
                <w:bCs w:val="false"/>
                <w:color w:val="000000"/>
                <w:sz w:val="20"/>
                <w:szCs w:val="20"/>
              </w:rPr>
              <w:t>Employee 1</w:t>
            </w:r>
          </w:p>
        </w:tc>
        <w:tc>
          <w:tcPr>
            <w:tcW w:w="2340" w:type="dxa"/>
            <w:tcBorders>
              <w:top w:val="single" w:sz="2" w:space="0" w:color="CCCCCC"/>
              <w:left w:val="single" w:sz="2" w:space="0" w:color="CCCCCC"/>
              <w:bottom w:val="single" w:sz="2" w:space="0" w:color="CCCCCC"/>
              <w:right w:val="single" w:sz="2" w:space="0" w:color="CCCCCC"/>
            </w:tcBorders>
            <w:shd w:fill="EBF3FB" w:val="clear"/>
            <w:tcMar>
              <w:top w:w="80" w:type="dxa"/>
              <w:bottom w:w="80" w:type="dxa"/>
            </w:tcMar>
          </w:tcPr>
          <w:p>
            <w:pPr>
              <w:pStyle w:val="Normal"/>
              <w:jc w:val="left"/>
              <w:rPr/>
            </w:pPr>
            <w:r>
              <w:rPr>
                <w:rFonts w:eastAsia="Arial" w:cs="Arial"/>
                <w:b w:val="false"/>
                <w:bCs w:val="false"/>
                <w:color w:val="000000"/>
                <w:sz w:val="20"/>
                <w:szCs w:val="20"/>
              </w:rPr>
              <w:t>General Worker</w:t>
            </w:r>
          </w:p>
        </w:tc>
        <w:tc>
          <w:tcPr>
            <w:tcW w:w="2340" w:type="dxa"/>
            <w:tcBorders>
              <w:top w:val="single" w:sz="2" w:space="0" w:color="CCCCCC"/>
              <w:left w:val="single" w:sz="2" w:space="0" w:color="CCCCCC"/>
              <w:bottom w:val="single" w:sz="2" w:space="0" w:color="CCCCCC"/>
              <w:right w:val="single" w:sz="2" w:space="0" w:color="CCCCCC"/>
            </w:tcBorders>
            <w:shd w:fill="EBF3FB" w:val="clear"/>
            <w:tcMar>
              <w:top w:w="80" w:type="dxa"/>
              <w:bottom w:w="80" w:type="dxa"/>
            </w:tcMar>
          </w:tcPr>
          <w:p>
            <w:pPr>
              <w:pStyle w:val="Normal"/>
              <w:jc w:val="center"/>
              <w:rPr/>
            </w:pPr>
            <w:r>
              <w:rPr>
                <w:rFonts w:eastAsia="Arial" w:cs="Arial"/>
                <w:b/>
                <w:bCs/>
                <w:color w:val="000000"/>
                <w:sz w:val="20"/>
                <w:szCs w:val="20"/>
              </w:rPr>
              <w:t>$12,000</w:t>
            </w:r>
          </w:p>
        </w:tc>
        <w:tc>
          <w:tcPr>
            <w:tcW w:w="1560" w:type="dxa"/>
            <w:tcBorders>
              <w:top w:val="single" w:sz="2" w:space="0" w:color="CCCCCC"/>
              <w:left w:val="single" w:sz="2" w:space="0" w:color="CCCCCC"/>
              <w:bottom w:val="single" w:sz="2" w:space="0" w:color="CCCCCC"/>
              <w:right w:val="single" w:sz="2" w:space="0" w:color="CCCCCC"/>
            </w:tcBorders>
            <w:shd w:fill="EBF3FB" w:val="clear"/>
            <w:tcMar>
              <w:top w:w="80" w:type="dxa"/>
              <w:bottom w:w="80" w:type="dxa"/>
            </w:tcMar>
          </w:tcPr>
          <w:p>
            <w:pPr>
              <w:pStyle w:val="Normal"/>
              <w:jc w:val="left"/>
              <w:rPr/>
            </w:pPr>
            <w:r>
              <w:rPr>
                <w:rFonts w:eastAsia="Arial" w:cs="Arial"/>
                <w:b w:val="false"/>
                <w:bCs w:val="false"/>
                <w:color w:val="000000"/>
                <w:sz w:val="20"/>
                <w:szCs w:val="20"/>
              </w:rPr>
              <w:t>Most common</w:t>
            </w:r>
          </w:p>
        </w:tc>
      </w:tr>
      <w:tr>
        <w:trPr/>
        <w:tc>
          <w:tcPr>
            <w:tcW w:w="311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jc w:val="left"/>
              <w:rPr/>
            </w:pPr>
            <w:r>
              <w:rPr>
                <w:rFonts w:eastAsia="Arial" w:cs="Arial"/>
                <w:b w:val="false"/>
                <w:bCs w:val="false"/>
                <w:color w:val="000000"/>
                <w:sz w:val="20"/>
                <w:szCs w:val="20"/>
              </w:rPr>
              <w:t>Employee 2</w:t>
            </w:r>
          </w:p>
        </w:tc>
        <w:tc>
          <w:tcPr>
            <w:tcW w:w="234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jc w:val="left"/>
              <w:rPr/>
            </w:pPr>
            <w:r>
              <w:rPr>
                <w:rFonts w:eastAsia="Arial" w:cs="Arial"/>
                <w:b w:val="false"/>
                <w:bCs w:val="false"/>
                <w:color w:val="000000"/>
                <w:sz w:val="20"/>
                <w:szCs w:val="20"/>
              </w:rPr>
              <w:t>General Worker</w:t>
            </w:r>
          </w:p>
        </w:tc>
        <w:tc>
          <w:tcPr>
            <w:tcW w:w="234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jc w:val="center"/>
              <w:rPr/>
            </w:pPr>
            <w:r>
              <w:rPr>
                <w:rFonts w:eastAsia="Arial" w:cs="Arial"/>
                <w:b/>
                <w:bCs/>
                <w:color w:val="000000"/>
                <w:sz w:val="20"/>
                <w:szCs w:val="20"/>
              </w:rPr>
              <w:t>$12,000</w:t>
            </w:r>
          </w:p>
        </w:tc>
        <w:tc>
          <w:tcPr>
            <w:tcW w:w="15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jc w:val="left"/>
              <w:rPr/>
            </w:pPr>
            <w:r>
              <w:rPr>
                <w:rFonts w:eastAsia="Arial" w:cs="Arial"/>
                <w:b w:val="false"/>
                <w:bCs w:val="false"/>
                <w:color w:val="000000"/>
                <w:sz w:val="20"/>
                <w:szCs w:val="20"/>
              </w:rPr>
              <w:t>Most common</w:t>
            </w:r>
          </w:p>
        </w:tc>
      </w:tr>
      <w:tr>
        <w:trPr/>
        <w:tc>
          <w:tcPr>
            <w:tcW w:w="3119" w:type="dxa"/>
            <w:tcBorders>
              <w:top w:val="single" w:sz="2" w:space="0" w:color="CCCCCC"/>
              <w:left w:val="single" w:sz="2" w:space="0" w:color="CCCCCC"/>
              <w:bottom w:val="single" w:sz="2" w:space="0" w:color="CCCCCC"/>
              <w:right w:val="single" w:sz="2" w:space="0" w:color="CCCCCC"/>
            </w:tcBorders>
            <w:shd w:fill="EBF3FB" w:val="clear"/>
            <w:tcMar>
              <w:top w:w="80" w:type="dxa"/>
              <w:bottom w:w="80" w:type="dxa"/>
            </w:tcMar>
          </w:tcPr>
          <w:p>
            <w:pPr>
              <w:pStyle w:val="Normal"/>
              <w:jc w:val="left"/>
              <w:rPr/>
            </w:pPr>
            <w:r>
              <w:rPr>
                <w:rFonts w:eastAsia="Arial" w:cs="Arial"/>
                <w:b w:val="false"/>
                <w:bCs w:val="false"/>
                <w:color w:val="000000"/>
                <w:sz w:val="20"/>
                <w:szCs w:val="20"/>
              </w:rPr>
              <w:t>Employee 3</w:t>
            </w:r>
          </w:p>
        </w:tc>
        <w:tc>
          <w:tcPr>
            <w:tcW w:w="2340" w:type="dxa"/>
            <w:tcBorders>
              <w:top w:val="single" w:sz="2" w:space="0" w:color="CCCCCC"/>
              <w:left w:val="single" w:sz="2" w:space="0" w:color="CCCCCC"/>
              <w:bottom w:val="single" w:sz="2" w:space="0" w:color="CCCCCC"/>
              <w:right w:val="single" w:sz="2" w:space="0" w:color="CCCCCC"/>
            </w:tcBorders>
            <w:shd w:fill="EBF3FB" w:val="clear"/>
            <w:tcMar>
              <w:top w:w="80" w:type="dxa"/>
              <w:bottom w:w="80" w:type="dxa"/>
            </w:tcMar>
          </w:tcPr>
          <w:p>
            <w:pPr>
              <w:pStyle w:val="Normal"/>
              <w:jc w:val="left"/>
              <w:rPr/>
            </w:pPr>
            <w:r>
              <w:rPr>
                <w:rFonts w:eastAsia="Arial" w:cs="Arial"/>
                <w:b w:val="false"/>
                <w:bCs w:val="false"/>
                <w:color w:val="000000"/>
                <w:sz w:val="20"/>
                <w:szCs w:val="20"/>
              </w:rPr>
              <w:t>General Worker</w:t>
            </w:r>
          </w:p>
        </w:tc>
        <w:tc>
          <w:tcPr>
            <w:tcW w:w="2340" w:type="dxa"/>
            <w:tcBorders>
              <w:top w:val="single" w:sz="2" w:space="0" w:color="CCCCCC"/>
              <w:left w:val="single" w:sz="2" w:space="0" w:color="CCCCCC"/>
              <w:bottom w:val="single" w:sz="2" w:space="0" w:color="CCCCCC"/>
              <w:right w:val="single" w:sz="2" w:space="0" w:color="CCCCCC"/>
            </w:tcBorders>
            <w:shd w:fill="EBF3FB" w:val="clear"/>
            <w:tcMar>
              <w:top w:w="80" w:type="dxa"/>
              <w:bottom w:w="80" w:type="dxa"/>
            </w:tcMar>
          </w:tcPr>
          <w:p>
            <w:pPr>
              <w:pStyle w:val="Normal"/>
              <w:jc w:val="center"/>
              <w:rPr/>
            </w:pPr>
            <w:r>
              <w:rPr>
                <w:rFonts w:eastAsia="Arial" w:cs="Arial"/>
                <w:b/>
                <w:bCs/>
                <w:color w:val="000000"/>
                <w:sz w:val="20"/>
                <w:szCs w:val="20"/>
              </w:rPr>
              <w:t>$12,000</w:t>
            </w:r>
          </w:p>
        </w:tc>
        <w:tc>
          <w:tcPr>
            <w:tcW w:w="1560" w:type="dxa"/>
            <w:tcBorders>
              <w:top w:val="single" w:sz="2" w:space="0" w:color="CCCCCC"/>
              <w:left w:val="single" w:sz="2" w:space="0" w:color="CCCCCC"/>
              <w:bottom w:val="single" w:sz="2" w:space="0" w:color="CCCCCC"/>
              <w:right w:val="single" w:sz="2" w:space="0" w:color="CCCCCC"/>
            </w:tcBorders>
            <w:shd w:fill="EBF3FB" w:val="clear"/>
            <w:tcMar>
              <w:top w:w="80" w:type="dxa"/>
              <w:bottom w:w="80" w:type="dxa"/>
            </w:tcMar>
          </w:tcPr>
          <w:p>
            <w:pPr>
              <w:pStyle w:val="Normal"/>
              <w:jc w:val="left"/>
              <w:rPr/>
            </w:pPr>
            <w:r>
              <w:rPr>
                <w:rFonts w:eastAsia="Arial" w:cs="Arial"/>
                <w:b w:val="false"/>
                <w:bCs w:val="false"/>
                <w:color w:val="000000"/>
                <w:sz w:val="20"/>
                <w:szCs w:val="20"/>
              </w:rPr>
              <w:t>Most common</w:t>
            </w:r>
          </w:p>
        </w:tc>
      </w:tr>
      <w:tr>
        <w:trPr/>
        <w:tc>
          <w:tcPr>
            <w:tcW w:w="311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jc w:val="left"/>
              <w:rPr/>
            </w:pPr>
            <w:r>
              <w:rPr>
                <w:rFonts w:eastAsia="Arial" w:cs="Arial"/>
                <w:b w:val="false"/>
                <w:bCs w:val="false"/>
                <w:color w:val="000000"/>
                <w:sz w:val="20"/>
                <w:szCs w:val="20"/>
              </w:rPr>
              <w:t>Employee 4</w:t>
            </w:r>
          </w:p>
        </w:tc>
        <w:tc>
          <w:tcPr>
            <w:tcW w:w="234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jc w:val="left"/>
              <w:rPr/>
            </w:pPr>
            <w:r>
              <w:rPr>
                <w:rFonts w:eastAsia="Arial" w:cs="Arial"/>
                <w:b w:val="false"/>
                <w:bCs w:val="false"/>
                <w:color w:val="000000"/>
                <w:sz w:val="20"/>
                <w:szCs w:val="20"/>
              </w:rPr>
              <w:t>General Worker</w:t>
            </w:r>
          </w:p>
        </w:tc>
        <w:tc>
          <w:tcPr>
            <w:tcW w:w="234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jc w:val="center"/>
              <w:rPr/>
            </w:pPr>
            <w:r>
              <w:rPr>
                <w:rFonts w:eastAsia="Arial" w:cs="Arial"/>
                <w:b/>
                <w:bCs/>
                <w:color w:val="000000"/>
                <w:sz w:val="20"/>
                <w:szCs w:val="20"/>
              </w:rPr>
              <w:t>$12,000</w:t>
            </w:r>
          </w:p>
        </w:tc>
        <w:tc>
          <w:tcPr>
            <w:tcW w:w="15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jc w:val="left"/>
              <w:rPr/>
            </w:pPr>
            <w:r>
              <w:rPr>
                <w:rFonts w:eastAsia="Arial" w:cs="Arial"/>
                <w:b w:val="false"/>
                <w:bCs w:val="false"/>
                <w:color w:val="000000"/>
                <w:sz w:val="20"/>
                <w:szCs w:val="20"/>
              </w:rPr>
              <w:t>Most common</w:t>
            </w:r>
          </w:p>
        </w:tc>
      </w:tr>
      <w:tr>
        <w:trPr/>
        <w:tc>
          <w:tcPr>
            <w:tcW w:w="3119" w:type="dxa"/>
            <w:tcBorders>
              <w:top w:val="single" w:sz="2" w:space="0" w:color="CCCCCC"/>
              <w:left w:val="single" w:sz="2" w:space="0" w:color="CCCCCC"/>
              <w:bottom w:val="single" w:sz="2" w:space="0" w:color="CCCCCC"/>
              <w:right w:val="single" w:sz="2" w:space="0" w:color="CCCCCC"/>
            </w:tcBorders>
            <w:shd w:fill="EBF3FB" w:val="clear"/>
            <w:tcMar>
              <w:top w:w="80" w:type="dxa"/>
              <w:bottom w:w="80" w:type="dxa"/>
            </w:tcMar>
          </w:tcPr>
          <w:p>
            <w:pPr>
              <w:pStyle w:val="Normal"/>
              <w:jc w:val="left"/>
              <w:rPr/>
            </w:pPr>
            <w:r>
              <w:rPr>
                <w:rFonts w:eastAsia="Arial" w:cs="Arial"/>
                <w:b w:val="false"/>
                <w:bCs w:val="false"/>
                <w:color w:val="000000"/>
                <w:sz w:val="20"/>
                <w:szCs w:val="20"/>
              </w:rPr>
              <w:t>Employee 5</w:t>
            </w:r>
          </w:p>
        </w:tc>
        <w:tc>
          <w:tcPr>
            <w:tcW w:w="2340" w:type="dxa"/>
            <w:tcBorders>
              <w:top w:val="single" w:sz="2" w:space="0" w:color="CCCCCC"/>
              <w:left w:val="single" w:sz="2" w:space="0" w:color="CCCCCC"/>
              <w:bottom w:val="single" w:sz="2" w:space="0" w:color="CCCCCC"/>
              <w:right w:val="single" w:sz="2" w:space="0" w:color="CCCCCC"/>
            </w:tcBorders>
            <w:shd w:fill="EBF3FB" w:val="clear"/>
            <w:tcMar>
              <w:top w:w="80" w:type="dxa"/>
              <w:bottom w:w="80" w:type="dxa"/>
            </w:tcMar>
          </w:tcPr>
          <w:p>
            <w:pPr>
              <w:pStyle w:val="Normal"/>
              <w:jc w:val="left"/>
              <w:rPr/>
            </w:pPr>
            <w:r>
              <w:rPr>
                <w:rFonts w:eastAsia="Arial" w:cs="Arial"/>
                <w:b w:val="false"/>
                <w:bCs w:val="false"/>
                <w:color w:val="000000"/>
                <w:sz w:val="20"/>
                <w:szCs w:val="20"/>
              </w:rPr>
              <w:t>General Worker</w:t>
            </w:r>
          </w:p>
        </w:tc>
        <w:tc>
          <w:tcPr>
            <w:tcW w:w="2340" w:type="dxa"/>
            <w:tcBorders>
              <w:top w:val="single" w:sz="2" w:space="0" w:color="CCCCCC"/>
              <w:left w:val="single" w:sz="2" w:space="0" w:color="CCCCCC"/>
              <w:bottom w:val="single" w:sz="2" w:space="0" w:color="CCCCCC"/>
              <w:right w:val="single" w:sz="2" w:space="0" w:color="CCCCCC"/>
            </w:tcBorders>
            <w:shd w:fill="EBF3FB" w:val="clear"/>
            <w:tcMar>
              <w:top w:w="80" w:type="dxa"/>
              <w:bottom w:w="80" w:type="dxa"/>
            </w:tcMar>
          </w:tcPr>
          <w:p>
            <w:pPr>
              <w:pStyle w:val="Normal"/>
              <w:jc w:val="center"/>
              <w:rPr/>
            </w:pPr>
            <w:r>
              <w:rPr>
                <w:rFonts w:eastAsia="Arial" w:cs="Arial"/>
                <w:b/>
                <w:bCs/>
                <w:color w:val="000000"/>
                <w:sz w:val="20"/>
                <w:szCs w:val="20"/>
              </w:rPr>
              <w:t>$12,000</w:t>
            </w:r>
          </w:p>
        </w:tc>
        <w:tc>
          <w:tcPr>
            <w:tcW w:w="1560" w:type="dxa"/>
            <w:tcBorders>
              <w:top w:val="single" w:sz="2" w:space="0" w:color="CCCCCC"/>
              <w:left w:val="single" w:sz="2" w:space="0" w:color="CCCCCC"/>
              <w:bottom w:val="single" w:sz="2" w:space="0" w:color="CCCCCC"/>
              <w:right w:val="single" w:sz="2" w:space="0" w:color="CCCCCC"/>
            </w:tcBorders>
            <w:shd w:fill="EBF3FB" w:val="clear"/>
            <w:tcMar>
              <w:top w:w="80" w:type="dxa"/>
              <w:bottom w:w="80" w:type="dxa"/>
            </w:tcMar>
          </w:tcPr>
          <w:p>
            <w:pPr>
              <w:pStyle w:val="Normal"/>
              <w:jc w:val="left"/>
              <w:rPr/>
            </w:pPr>
            <w:r>
              <w:rPr>
                <w:rFonts w:eastAsia="Arial" w:cs="Arial"/>
                <w:b w:val="false"/>
                <w:bCs w:val="false"/>
                <w:color w:val="000000"/>
                <w:sz w:val="20"/>
                <w:szCs w:val="20"/>
              </w:rPr>
              <w:t>Most common</w:t>
            </w:r>
          </w:p>
        </w:tc>
      </w:tr>
      <w:tr>
        <w:trPr/>
        <w:tc>
          <w:tcPr>
            <w:tcW w:w="311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jc w:val="left"/>
              <w:rPr/>
            </w:pPr>
            <w:r>
              <w:rPr>
                <w:rFonts w:eastAsia="Arial" w:cs="Arial"/>
                <w:b w:val="false"/>
                <w:bCs w:val="false"/>
                <w:color w:val="000000"/>
                <w:sz w:val="20"/>
                <w:szCs w:val="20"/>
              </w:rPr>
              <w:t>Employee 6</w:t>
            </w:r>
          </w:p>
        </w:tc>
        <w:tc>
          <w:tcPr>
            <w:tcW w:w="234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jc w:val="left"/>
              <w:rPr/>
            </w:pPr>
            <w:r>
              <w:rPr>
                <w:rFonts w:eastAsia="Arial" w:cs="Arial"/>
                <w:b w:val="false"/>
                <w:bCs w:val="false"/>
                <w:color w:val="000000"/>
                <w:sz w:val="20"/>
                <w:szCs w:val="20"/>
              </w:rPr>
              <w:t>Supervisor</w:t>
            </w:r>
          </w:p>
        </w:tc>
        <w:tc>
          <w:tcPr>
            <w:tcW w:w="234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jc w:val="center"/>
              <w:rPr/>
            </w:pPr>
            <w:r>
              <w:rPr>
                <w:rFonts w:eastAsia="Arial" w:cs="Arial"/>
                <w:b w:val="false"/>
                <w:bCs w:val="false"/>
                <w:color w:val="000000"/>
                <w:sz w:val="20"/>
                <w:szCs w:val="20"/>
              </w:rPr>
              <w:t>$14,000</w:t>
            </w:r>
          </w:p>
        </w:tc>
        <w:tc>
          <w:tcPr>
            <w:tcW w:w="15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jc w:val="left"/>
              <w:rPr/>
            </w:pPr>
            <w:r>
              <w:rPr>
                <w:rFonts w:eastAsia="Arial" w:cs="Arial"/>
                <w:b w:val="false"/>
                <w:bCs w:val="false"/>
                <w:color w:val="000000"/>
                <w:sz w:val="20"/>
                <w:szCs w:val="20"/>
              </w:rPr>
              <w:t>Mid-level</w:t>
            </w:r>
          </w:p>
        </w:tc>
      </w:tr>
      <w:tr>
        <w:trPr/>
        <w:tc>
          <w:tcPr>
            <w:tcW w:w="3119" w:type="dxa"/>
            <w:tcBorders>
              <w:top w:val="single" w:sz="2" w:space="0" w:color="CCCCCC"/>
              <w:left w:val="single" w:sz="2" w:space="0" w:color="CCCCCC"/>
              <w:bottom w:val="single" w:sz="2" w:space="0" w:color="CCCCCC"/>
              <w:right w:val="single" w:sz="2" w:space="0" w:color="CCCCCC"/>
            </w:tcBorders>
            <w:shd w:fill="EBF3FB" w:val="clear"/>
            <w:tcMar>
              <w:top w:w="80" w:type="dxa"/>
              <w:bottom w:w="80" w:type="dxa"/>
            </w:tcMar>
          </w:tcPr>
          <w:p>
            <w:pPr>
              <w:pStyle w:val="Normal"/>
              <w:jc w:val="left"/>
              <w:rPr/>
            </w:pPr>
            <w:r>
              <w:rPr>
                <w:rFonts w:eastAsia="Arial" w:cs="Arial"/>
                <w:b w:val="false"/>
                <w:bCs w:val="false"/>
                <w:color w:val="000000"/>
                <w:sz w:val="20"/>
                <w:szCs w:val="20"/>
              </w:rPr>
              <w:t>Employee 7</w:t>
            </w:r>
          </w:p>
        </w:tc>
        <w:tc>
          <w:tcPr>
            <w:tcW w:w="2340" w:type="dxa"/>
            <w:tcBorders>
              <w:top w:val="single" w:sz="2" w:space="0" w:color="CCCCCC"/>
              <w:left w:val="single" w:sz="2" w:space="0" w:color="CCCCCC"/>
              <w:bottom w:val="single" w:sz="2" w:space="0" w:color="CCCCCC"/>
              <w:right w:val="single" w:sz="2" w:space="0" w:color="CCCCCC"/>
            </w:tcBorders>
            <w:shd w:fill="EBF3FB" w:val="clear"/>
            <w:tcMar>
              <w:top w:w="80" w:type="dxa"/>
              <w:bottom w:w="80" w:type="dxa"/>
            </w:tcMar>
          </w:tcPr>
          <w:p>
            <w:pPr>
              <w:pStyle w:val="Normal"/>
              <w:jc w:val="left"/>
              <w:rPr/>
            </w:pPr>
            <w:r>
              <w:rPr>
                <w:rFonts w:eastAsia="Arial" w:cs="Arial"/>
                <w:b w:val="false"/>
                <w:bCs w:val="false"/>
                <w:color w:val="000000"/>
                <w:sz w:val="20"/>
                <w:szCs w:val="20"/>
              </w:rPr>
              <w:t>Supervisor</w:t>
            </w:r>
          </w:p>
        </w:tc>
        <w:tc>
          <w:tcPr>
            <w:tcW w:w="2340" w:type="dxa"/>
            <w:tcBorders>
              <w:top w:val="single" w:sz="2" w:space="0" w:color="CCCCCC"/>
              <w:left w:val="single" w:sz="2" w:space="0" w:color="CCCCCC"/>
              <w:bottom w:val="single" w:sz="2" w:space="0" w:color="CCCCCC"/>
              <w:right w:val="single" w:sz="2" w:space="0" w:color="CCCCCC"/>
            </w:tcBorders>
            <w:shd w:fill="EBF3FB" w:val="clear"/>
            <w:tcMar>
              <w:top w:w="80" w:type="dxa"/>
              <w:bottom w:w="80" w:type="dxa"/>
            </w:tcMar>
          </w:tcPr>
          <w:p>
            <w:pPr>
              <w:pStyle w:val="Normal"/>
              <w:jc w:val="center"/>
              <w:rPr/>
            </w:pPr>
            <w:r>
              <w:rPr>
                <w:rFonts w:eastAsia="Arial" w:cs="Arial"/>
                <w:b w:val="false"/>
                <w:bCs w:val="false"/>
                <w:color w:val="000000"/>
                <w:sz w:val="20"/>
                <w:szCs w:val="20"/>
              </w:rPr>
              <w:t>$14,000</w:t>
            </w:r>
          </w:p>
        </w:tc>
        <w:tc>
          <w:tcPr>
            <w:tcW w:w="1560" w:type="dxa"/>
            <w:tcBorders>
              <w:top w:val="single" w:sz="2" w:space="0" w:color="CCCCCC"/>
              <w:left w:val="single" w:sz="2" w:space="0" w:color="CCCCCC"/>
              <w:bottom w:val="single" w:sz="2" w:space="0" w:color="CCCCCC"/>
              <w:right w:val="single" w:sz="2" w:space="0" w:color="CCCCCC"/>
            </w:tcBorders>
            <w:shd w:fill="EBF3FB" w:val="clear"/>
            <w:tcMar>
              <w:top w:w="80" w:type="dxa"/>
              <w:bottom w:w="80" w:type="dxa"/>
            </w:tcMar>
          </w:tcPr>
          <w:p>
            <w:pPr>
              <w:pStyle w:val="Normal"/>
              <w:jc w:val="left"/>
              <w:rPr/>
            </w:pPr>
            <w:r>
              <w:rPr>
                <w:rFonts w:eastAsia="Arial" w:cs="Arial"/>
                <w:b w:val="false"/>
                <w:bCs w:val="false"/>
                <w:color w:val="000000"/>
                <w:sz w:val="20"/>
                <w:szCs w:val="20"/>
              </w:rPr>
              <w:t>Mid-level</w:t>
            </w:r>
          </w:p>
        </w:tc>
      </w:tr>
      <w:tr>
        <w:trPr/>
        <w:tc>
          <w:tcPr>
            <w:tcW w:w="311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jc w:val="left"/>
              <w:rPr/>
            </w:pPr>
            <w:r>
              <w:rPr>
                <w:rFonts w:eastAsia="Arial" w:cs="Arial"/>
                <w:b w:val="false"/>
                <w:bCs w:val="false"/>
                <w:color w:val="000000"/>
                <w:sz w:val="20"/>
                <w:szCs w:val="20"/>
              </w:rPr>
              <w:t>Employee 8</w:t>
            </w:r>
          </w:p>
        </w:tc>
        <w:tc>
          <w:tcPr>
            <w:tcW w:w="234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jc w:val="left"/>
              <w:rPr/>
            </w:pPr>
            <w:r>
              <w:rPr>
                <w:rFonts w:eastAsia="Arial" w:cs="Arial"/>
                <w:b w:val="false"/>
                <w:bCs w:val="false"/>
                <w:color w:val="000000"/>
                <w:sz w:val="20"/>
                <w:szCs w:val="20"/>
              </w:rPr>
              <w:t>Manager</w:t>
            </w:r>
          </w:p>
        </w:tc>
        <w:tc>
          <w:tcPr>
            <w:tcW w:w="234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jc w:val="center"/>
              <w:rPr/>
            </w:pPr>
            <w:r>
              <w:rPr>
                <w:rFonts w:eastAsia="Arial" w:cs="Arial"/>
                <w:b w:val="false"/>
                <w:bCs w:val="false"/>
                <w:color w:val="000000"/>
                <w:sz w:val="20"/>
                <w:szCs w:val="20"/>
              </w:rPr>
              <w:t>$18,000</w:t>
            </w:r>
          </w:p>
        </w:tc>
        <w:tc>
          <w:tcPr>
            <w:tcW w:w="15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jc w:val="left"/>
              <w:rPr/>
            </w:pPr>
            <w:r>
              <w:rPr>
                <w:rFonts w:eastAsia="Arial" w:cs="Arial"/>
                <w:b w:val="false"/>
                <w:bCs w:val="false"/>
                <w:color w:val="000000"/>
                <w:sz w:val="20"/>
                <w:szCs w:val="20"/>
              </w:rPr>
              <w:t>Mid-level</w:t>
            </w:r>
          </w:p>
        </w:tc>
      </w:tr>
      <w:tr>
        <w:trPr/>
        <w:tc>
          <w:tcPr>
            <w:tcW w:w="3119" w:type="dxa"/>
            <w:tcBorders>
              <w:top w:val="single" w:sz="2" w:space="0" w:color="CCCCCC"/>
              <w:left w:val="single" w:sz="2" w:space="0" w:color="CCCCCC"/>
              <w:bottom w:val="single" w:sz="2" w:space="0" w:color="CCCCCC"/>
              <w:right w:val="single" w:sz="2" w:space="0" w:color="CCCCCC"/>
            </w:tcBorders>
            <w:shd w:fill="EBF3FB" w:val="clear"/>
            <w:tcMar>
              <w:top w:w="80" w:type="dxa"/>
              <w:bottom w:w="80" w:type="dxa"/>
            </w:tcMar>
          </w:tcPr>
          <w:p>
            <w:pPr>
              <w:pStyle w:val="Normal"/>
              <w:jc w:val="left"/>
              <w:rPr/>
            </w:pPr>
            <w:r>
              <w:rPr>
                <w:rFonts w:eastAsia="Arial" w:cs="Arial"/>
                <w:b w:val="false"/>
                <w:bCs w:val="false"/>
                <w:color w:val="000000"/>
                <w:sz w:val="20"/>
                <w:szCs w:val="20"/>
              </w:rPr>
              <w:t>Executive 1</w:t>
            </w:r>
          </w:p>
        </w:tc>
        <w:tc>
          <w:tcPr>
            <w:tcW w:w="2340" w:type="dxa"/>
            <w:tcBorders>
              <w:top w:val="single" w:sz="2" w:space="0" w:color="CCCCCC"/>
              <w:left w:val="single" w:sz="2" w:space="0" w:color="CCCCCC"/>
              <w:bottom w:val="single" w:sz="2" w:space="0" w:color="CCCCCC"/>
              <w:right w:val="single" w:sz="2" w:space="0" w:color="CCCCCC"/>
            </w:tcBorders>
            <w:shd w:fill="EBF3FB" w:val="clear"/>
            <w:tcMar>
              <w:top w:w="80" w:type="dxa"/>
              <w:bottom w:w="80" w:type="dxa"/>
            </w:tcMar>
          </w:tcPr>
          <w:p>
            <w:pPr>
              <w:pStyle w:val="Normal"/>
              <w:jc w:val="left"/>
              <w:rPr/>
            </w:pPr>
            <w:r>
              <w:rPr>
                <w:rFonts w:eastAsia="Arial" w:cs="Arial"/>
                <w:b w:val="false"/>
                <w:bCs w:val="false"/>
                <w:color w:val="000000"/>
                <w:sz w:val="20"/>
                <w:szCs w:val="20"/>
              </w:rPr>
              <w:t>CEO</w:t>
            </w:r>
          </w:p>
        </w:tc>
        <w:tc>
          <w:tcPr>
            <w:tcW w:w="2340" w:type="dxa"/>
            <w:tcBorders>
              <w:top w:val="single" w:sz="2" w:space="0" w:color="CCCCCC"/>
              <w:left w:val="single" w:sz="2" w:space="0" w:color="CCCCCC"/>
              <w:bottom w:val="single" w:sz="2" w:space="0" w:color="CCCCCC"/>
              <w:right w:val="single" w:sz="2" w:space="0" w:color="CCCCCC"/>
            </w:tcBorders>
            <w:shd w:fill="EBF3FB" w:val="clear"/>
            <w:tcMar>
              <w:top w:w="80" w:type="dxa"/>
              <w:bottom w:w="80" w:type="dxa"/>
            </w:tcMar>
          </w:tcPr>
          <w:p>
            <w:pPr>
              <w:pStyle w:val="Normal"/>
              <w:jc w:val="center"/>
              <w:rPr/>
            </w:pPr>
            <w:r>
              <w:rPr>
                <w:rFonts w:eastAsia="Arial" w:cs="Arial"/>
                <w:b w:val="false"/>
                <w:bCs w:val="false"/>
                <w:color w:val="C00000"/>
                <w:sz w:val="20"/>
                <w:szCs w:val="20"/>
              </w:rPr>
              <w:t>$95,000</w:t>
            </w:r>
          </w:p>
        </w:tc>
        <w:tc>
          <w:tcPr>
            <w:tcW w:w="1560" w:type="dxa"/>
            <w:tcBorders>
              <w:top w:val="single" w:sz="2" w:space="0" w:color="CCCCCC"/>
              <w:left w:val="single" w:sz="2" w:space="0" w:color="CCCCCC"/>
              <w:bottom w:val="single" w:sz="2" w:space="0" w:color="CCCCCC"/>
              <w:right w:val="single" w:sz="2" w:space="0" w:color="CCCCCC"/>
            </w:tcBorders>
            <w:shd w:fill="EBF3FB" w:val="clear"/>
            <w:tcMar>
              <w:top w:w="80" w:type="dxa"/>
              <w:bottom w:w="80" w:type="dxa"/>
            </w:tcMar>
          </w:tcPr>
          <w:p>
            <w:pPr>
              <w:pStyle w:val="Normal"/>
              <w:jc w:val="left"/>
              <w:rPr/>
            </w:pPr>
            <w:r>
              <w:rPr>
                <w:rFonts w:eastAsia="Arial" w:cs="Arial"/>
                <w:b w:val="false"/>
                <w:bCs w:val="false"/>
                <w:color w:val="000000"/>
                <w:sz w:val="20"/>
                <w:szCs w:val="20"/>
              </w:rPr>
              <w:t>Outlier</w:t>
            </w:r>
          </w:p>
        </w:tc>
      </w:tr>
      <w:tr>
        <w:trPr/>
        <w:tc>
          <w:tcPr>
            <w:tcW w:w="3119"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jc w:val="left"/>
              <w:rPr/>
            </w:pPr>
            <w:r>
              <w:rPr>
                <w:rFonts w:eastAsia="Arial" w:cs="Arial"/>
                <w:b w:val="false"/>
                <w:bCs w:val="false"/>
                <w:color w:val="000000"/>
                <w:sz w:val="20"/>
                <w:szCs w:val="20"/>
              </w:rPr>
              <w:t>Executive 2</w:t>
            </w:r>
          </w:p>
        </w:tc>
        <w:tc>
          <w:tcPr>
            <w:tcW w:w="234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jc w:val="left"/>
              <w:rPr/>
            </w:pPr>
            <w:r>
              <w:rPr>
                <w:rFonts w:eastAsia="Arial" w:cs="Arial"/>
                <w:b w:val="false"/>
                <w:bCs w:val="false"/>
                <w:color w:val="000000"/>
                <w:sz w:val="20"/>
                <w:szCs w:val="20"/>
              </w:rPr>
              <w:t>COO</w:t>
            </w:r>
          </w:p>
        </w:tc>
        <w:tc>
          <w:tcPr>
            <w:tcW w:w="234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jc w:val="center"/>
              <w:rPr/>
            </w:pPr>
            <w:r>
              <w:rPr>
                <w:rFonts w:eastAsia="Arial" w:cs="Arial"/>
                <w:b w:val="false"/>
                <w:bCs w:val="false"/>
                <w:color w:val="C00000"/>
                <w:sz w:val="20"/>
                <w:szCs w:val="20"/>
              </w:rPr>
              <w:t>$79,000</w:t>
            </w:r>
          </w:p>
        </w:tc>
        <w:tc>
          <w:tcPr>
            <w:tcW w:w="1560" w:type="dxa"/>
            <w:tcBorders>
              <w:top w:val="single" w:sz="2" w:space="0" w:color="CCCCCC"/>
              <w:left w:val="single" w:sz="2" w:space="0" w:color="CCCCCC"/>
              <w:bottom w:val="single" w:sz="2" w:space="0" w:color="CCCCCC"/>
              <w:right w:val="single" w:sz="2" w:space="0" w:color="CCCCCC"/>
            </w:tcBorders>
            <w:shd w:fill="FFFFFF" w:val="clear"/>
            <w:tcMar>
              <w:top w:w="80" w:type="dxa"/>
              <w:bottom w:w="80" w:type="dxa"/>
            </w:tcMar>
          </w:tcPr>
          <w:p>
            <w:pPr>
              <w:pStyle w:val="Normal"/>
              <w:jc w:val="left"/>
              <w:rPr/>
            </w:pPr>
            <w:r>
              <w:rPr>
                <w:rFonts w:eastAsia="Arial" w:cs="Arial"/>
                <w:b w:val="false"/>
                <w:bCs w:val="false"/>
                <w:color w:val="000000"/>
                <w:sz w:val="20"/>
                <w:szCs w:val="20"/>
              </w:rPr>
              <w:t>Outlier</w:t>
            </w:r>
          </w:p>
        </w:tc>
      </w:tr>
    </w:tbl>
    <w:p>
      <w:pPr>
        <w:pStyle w:val="Normal"/>
        <w:rPr/>
      </w:pPr>
      <w:r>
        <w:rPr/>
      </w:r>
    </w:p>
    <w:p>
      <w:pPr>
        <w:pStyle w:val="Normal"/>
        <w:spacing w:lineRule="exact" w:line="360" w:before="100" w:after="100"/>
        <w:jc w:val="both"/>
        <w:rPr/>
      </w:pPr>
      <w:r>
        <w:rPr>
          <w:rFonts w:eastAsia="Arial" w:cs="Arial"/>
          <w:sz w:val="22"/>
          <w:szCs w:val="22"/>
        </w:rPr>
        <w:t>From the table above, it is immediately apparent that the salary distribution is heavily skewed. Eight out of ten employees earn between $12,000 and $18,000, while two executives earn $79,000 and $95,000 respectively — creating a significant pull on the mean.</w:t>
      </w:r>
    </w:p>
    <w:p>
      <w:pPr>
        <w:pStyle w:val="Normal"/>
        <w:rPr/>
      </w:pPr>
      <w:r>
        <w:rPr/>
      </w:r>
    </w:p>
    <w:p>
      <w:pPr>
        <w:pStyle w:val="Heading1"/>
        <w:spacing w:before="360" w:after="180"/>
        <w:rPr/>
      </w:pPr>
      <w:r>
        <w:rPr>
          <w:rFonts w:eastAsia="Arial" w:cs="Arial" w:ascii="Arial" w:hAnsi="Arial"/>
          <w:b/>
          <w:bCs/>
          <w:color w:val="1F4E79"/>
          <w:sz w:val="32"/>
          <w:szCs w:val="32"/>
        </w:rPr>
        <w:t>4. Statistical Analysis</w:t>
      </w:r>
    </w:p>
    <w:p>
      <w:pPr>
        <w:pStyle w:val="Heading2"/>
        <w:spacing w:before="280" w:after="140"/>
        <w:rPr/>
      </w:pPr>
      <w:r>
        <w:rPr>
          <w:rFonts w:eastAsia="Arial" w:cs="Arial" w:ascii="Arial" w:hAnsi="Arial"/>
          <w:b/>
          <w:bCs/>
          <w:color w:val="2E74B5"/>
          <w:sz w:val="26"/>
          <w:szCs w:val="26"/>
        </w:rPr>
        <w:t>4.1  Mean (Arithmetic Average)</w:t>
      </w:r>
    </w:p>
    <w:p>
      <w:pPr>
        <w:pStyle w:val="Normal"/>
        <w:spacing w:lineRule="exact" w:line="360" w:before="100" w:after="100"/>
        <w:jc w:val="both"/>
        <w:rPr/>
      </w:pPr>
      <w:r>
        <w:rPr>
          <w:rFonts w:eastAsia="Arial" w:cs="Arial"/>
          <w:sz w:val="22"/>
          <w:szCs w:val="22"/>
        </w:rPr>
        <w:t>The mean is calculated by summing all individual salaries and dividing by the total number of employees.</w:t>
      </w:r>
    </w:p>
    <w:p>
      <w:pPr>
        <w:pStyle w:val="Normal"/>
        <w:rPr/>
      </w:pPr>
      <w:r>
        <w:rPr/>
      </w:r>
    </w:p>
    <w:p>
      <w:pPr>
        <w:pStyle w:val="Normal"/>
        <w:pBdr>
          <w:top w:val="single" w:sz="4" w:space="0" w:color="2E74B5"/>
          <w:left w:val="single" w:sz="4" w:space="0" w:color="2E74B5"/>
          <w:bottom w:val="single" w:sz="4" w:space="0" w:color="2E74B5"/>
          <w:right w:val="single" w:sz="4" w:space="0" w:color="2E74B5"/>
        </w:pBdr>
        <w:spacing w:before="160" w:after="160"/>
        <w:jc w:val="center"/>
        <w:rPr/>
      </w:pPr>
      <w:r>
        <w:rPr>
          <w:rFonts w:eastAsia="Courier New" w:cs="Courier New" w:ascii="Courier New" w:hAnsi="Courier New"/>
          <w:b/>
          <w:bCs/>
          <w:sz w:val="22"/>
          <w:szCs w:val="22"/>
        </w:rPr>
        <w:t>Total Salaries = (12,000 x 5) + (14,000 x 2) + 18,000 + 95,000 + 79,000 = $270,000</w:t>
      </w:r>
    </w:p>
    <w:p>
      <w:pPr>
        <w:pStyle w:val="Normal"/>
        <w:pBdr>
          <w:left w:val="single" w:sz="4" w:space="0" w:color="2E74B5"/>
          <w:bottom w:val="single" w:sz="4" w:space="0" w:color="2E74B5"/>
          <w:right w:val="single" w:sz="4" w:space="0" w:color="2E74B5"/>
        </w:pBdr>
        <w:spacing w:before="80" w:after="160"/>
        <w:jc w:val="center"/>
        <w:rPr/>
      </w:pPr>
      <w:r>
        <w:rPr>
          <w:rFonts w:eastAsia="Courier New" w:cs="Courier New" w:ascii="Courier New" w:hAnsi="Courier New"/>
          <w:b/>
          <w:bCs/>
          <w:color w:val="C00000"/>
          <w:sz w:val="22"/>
          <w:szCs w:val="22"/>
        </w:rPr>
        <w:t>Mean = $270,000 / 10 = $27,000</w:t>
      </w:r>
    </w:p>
    <w:p>
      <w:pPr>
        <w:pStyle w:val="Normal"/>
        <w:rPr/>
      </w:pPr>
      <w:r>
        <w:rPr/>
      </w:r>
    </w:p>
    <w:p>
      <w:pPr>
        <w:pStyle w:val="Normal"/>
        <w:spacing w:lineRule="exact" w:line="360" w:before="100" w:after="100"/>
        <w:jc w:val="both"/>
        <w:rPr/>
      </w:pPr>
      <w:r>
        <w:rPr>
          <w:rFonts w:eastAsia="Arial" w:cs="Arial"/>
          <w:sz w:val="22"/>
          <w:szCs w:val="22"/>
        </w:rPr>
        <w:t>The mean salary of $27,000 appears impressive on paper. However, this figure is a statistical artefact — it does not represent the experience of any single worker in the company. The two executive salaries alone contribute $174,000 out of the $270,000 total, which constitutes approximately 64.4% of the total wage bill, yet these individuals represent only 20% of the workforce.</w:t>
      </w:r>
    </w:p>
    <w:p>
      <w:pPr>
        <w:pStyle w:val="Normal"/>
        <w:rPr/>
      </w:pPr>
      <w:r>
        <w:rPr/>
      </w:r>
    </w:p>
    <w:p>
      <w:pPr>
        <w:pStyle w:val="Normal"/>
        <w:spacing w:lineRule="exact" w:line="360" w:before="100" w:after="100"/>
        <w:jc w:val="both"/>
        <w:rPr/>
      </w:pPr>
      <w:r>
        <w:rPr>
          <w:rFonts w:eastAsia="Arial" w:cs="Arial"/>
          <w:sz w:val="22"/>
          <w:szCs w:val="22"/>
        </w:rPr>
        <w:t>This is a classic example of a positively skewed distribution, where a few very high values pull the mean far above what most data points (salaries) actually are. In such situations, the mean is considered a non-resistant statistic — it is highly sensitive to outliers.</w:t>
      </w:r>
    </w:p>
    <w:p>
      <w:pPr>
        <w:pStyle w:val="Normal"/>
        <w:rPr/>
      </w:pPr>
      <w:r>
        <w:rPr/>
      </w:r>
    </w:p>
    <w:p>
      <w:pPr>
        <w:pStyle w:val="Heading2"/>
        <w:spacing w:before="280" w:after="140"/>
        <w:rPr/>
      </w:pPr>
      <w:r>
        <w:rPr>
          <w:rFonts w:eastAsia="Arial" w:cs="Arial" w:ascii="Arial" w:hAnsi="Arial"/>
          <w:b/>
          <w:bCs/>
          <w:color w:val="2E74B5"/>
          <w:sz w:val="26"/>
          <w:szCs w:val="26"/>
        </w:rPr>
        <w:t>4.2  Median (Middle Value)</w:t>
      </w:r>
    </w:p>
    <w:p>
      <w:pPr>
        <w:pStyle w:val="Normal"/>
        <w:spacing w:lineRule="exact" w:line="360" w:before="100" w:after="100"/>
        <w:jc w:val="both"/>
        <w:rPr/>
      </w:pPr>
      <w:r>
        <w:rPr>
          <w:rFonts w:eastAsia="Arial" w:cs="Arial"/>
          <w:sz w:val="22"/>
          <w:szCs w:val="22"/>
        </w:rPr>
        <w:t>To find the median, all salaries are arranged in ascending order and the middle value is identified.</w:t>
      </w:r>
    </w:p>
    <w:p>
      <w:pPr>
        <w:pStyle w:val="Normal"/>
        <w:rPr/>
      </w:pPr>
      <w:r>
        <w:rPr/>
      </w:r>
    </w:p>
    <w:p>
      <w:pPr>
        <w:pStyle w:val="Normal"/>
        <w:pBdr>
          <w:top w:val="single" w:sz="4" w:space="0" w:color="375623"/>
          <w:left w:val="single" w:sz="4" w:space="0" w:color="375623"/>
          <w:bottom w:val="single" w:sz="4" w:space="0" w:color="375623"/>
          <w:right w:val="single" w:sz="4" w:space="0" w:color="375623"/>
        </w:pBdr>
        <w:spacing w:before="160" w:after="80"/>
        <w:jc w:val="center"/>
        <w:rPr/>
      </w:pPr>
      <w:r>
        <w:rPr>
          <w:rFonts w:eastAsia="Courier New" w:cs="Courier New" w:ascii="Courier New" w:hAnsi="Courier New"/>
          <w:b/>
          <w:bCs/>
          <w:sz w:val="22"/>
          <w:szCs w:val="22"/>
        </w:rPr>
        <w:t>Sorted: $12K, $12K, $12K, $12K, $12K, $14K, $14K, $18K, $79K, $95K</w:t>
      </w:r>
    </w:p>
    <w:p>
      <w:pPr>
        <w:pStyle w:val="Normal"/>
        <w:pBdr>
          <w:left w:val="single" w:sz="4" w:space="0" w:color="375623"/>
          <w:bottom w:val="single" w:sz="4" w:space="0" w:color="375623"/>
          <w:right w:val="single" w:sz="4" w:space="0" w:color="375623"/>
        </w:pBdr>
        <w:spacing w:before="80" w:after="160"/>
        <w:jc w:val="center"/>
        <w:rPr/>
      </w:pPr>
      <w:r>
        <w:rPr>
          <w:rFonts w:eastAsia="Courier New" w:cs="Courier New" w:ascii="Courier New" w:hAnsi="Courier New"/>
          <w:b/>
          <w:bCs/>
          <w:color w:val="375623"/>
          <w:sz w:val="22"/>
          <w:szCs w:val="22"/>
        </w:rPr>
        <w:t>Median = (5th value + 6th value) / 2 = ($12,000 + $14,000) / 2 = $13,000</w:t>
      </w:r>
    </w:p>
    <w:p>
      <w:pPr>
        <w:pStyle w:val="Normal"/>
        <w:rPr/>
      </w:pPr>
      <w:r>
        <w:rPr/>
      </w:r>
    </w:p>
    <w:p>
      <w:pPr>
        <w:pStyle w:val="Normal"/>
        <w:spacing w:lineRule="exact" w:line="360" w:before="100" w:after="100"/>
        <w:jc w:val="both"/>
        <w:rPr/>
      </w:pPr>
      <w:r>
        <w:rPr>
          <w:rFonts w:eastAsia="Arial" w:cs="Arial"/>
          <w:sz w:val="22"/>
          <w:szCs w:val="22"/>
        </w:rPr>
        <w:t>The median salary of $13,000 is far more representative of what a typical employee actually earns. Since there are 10 employees (an even number), the median is computed as the average of the 5th and 6th values in the sorted list. The median is a resistant statistic — it is not affected by the extreme executive salaries and thus gives a more honest picture of the 'middle' employee's compensation.</w:t>
      </w:r>
    </w:p>
    <w:p>
      <w:pPr>
        <w:pStyle w:val="Normal"/>
        <w:rPr/>
      </w:pPr>
      <w:r>
        <w:rPr/>
      </w:r>
    </w:p>
    <w:p>
      <w:pPr>
        <w:pStyle w:val="Heading2"/>
        <w:spacing w:before="280" w:after="140"/>
        <w:rPr/>
      </w:pPr>
      <w:r>
        <w:rPr>
          <w:rFonts w:eastAsia="Arial" w:cs="Arial" w:ascii="Arial" w:hAnsi="Arial"/>
          <w:b/>
          <w:bCs/>
          <w:color w:val="2E74B5"/>
          <w:sz w:val="26"/>
          <w:szCs w:val="26"/>
        </w:rPr>
        <w:t>4.3  Mode (Most Frequent Value)</w:t>
      </w:r>
    </w:p>
    <w:p>
      <w:pPr>
        <w:pStyle w:val="Normal"/>
        <w:spacing w:lineRule="exact" w:line="360" w:before="100" w:after="100"/>
        <w:jc w:val="both"/>
        <w:rPr/>
      </w:pPr>
      <w:r>
        <w:rPr>
          <w:rFonts w:eastAsia="Arial" w:cs="Arial"/>
          <w:sz w:val="22"/>
          <w:szCs w:val="22"/>
        </w:rPr>
        <w:t>The mode is the value that appears most often in the dataset. From the salary data presented above:</w:t>
      </w:r>
    </w:p>
    <w:p>
      <w:pPr>
        <w:pStyle w:val="Normal"/>
        <w:rPr/>
      </w:pPr>
      <w:r>
        <w:rPr/>
      </w:r>
    </w:p>
    <w:p>
      <w:pPr>
        <w:pStyle w:val="Normal"/>
        <w:pBdr>
          <w:top w:val="single" w:sz="4" w:space="0" w:color="7030A0"/>
          <w:left w:val="single" w:sz="4" w:space="0" w:color="7030A0"/>
          <w:bottom w:val="single" w:sz="4" w:space="0" w:color="7030A0"/>
          <w:right w:val="single" w:sz="4" w:space="0" w:color="7030A0"/>
        </w:pBdr>
        <w:spacing w:before="160" w:after="160"/>
        <w:jc w:val="center"/>
        <w:rPr/>
      </w:pPr>
      <w:r>
        <w:rPr>
          <w:rFonts w:eastAsia="Courier New" w:cs="Courier New" w:ascii="Courier New" w:hAnsi="Courier New"/>
          <w:b/>
          <w:bCs/>
          <w:color w:val="7030A0"/>
          <w:sz w:val="22"/>
          <w:szCs w:val="22"/>
        </w:rPr>
        <w:t>Mode = $12,000  (appears 5 out of 10 times = 50% of all employees)</w:t>
      </w:r>
    </w:p>
    <w:p>
      <w:pPr>
        <w:pStyle w:val="Normal"/>
        <w:spacing w:lineRule="exact" w:line="360" w:before="100" w:after="100"/>
        <w:jc w:val="both"/>
        <w:rPr/>
      </w:pPr>
      <w:r>
        <w:rPr>
          <w:rFonts w:eastAsia="Arial" w:cs="Arial"/>
          <w:sz w:val="22"/>
          <w:szCs w:val="22"/>
        </w:rPr>
        <w:t>Exactly half of the company's entire workforce earns $12,000 per year. The mode directly highlights what the largest group of workers actually earns — and this figure is drastically lower than the company-cited mean of $27,000. In labour economics and union negotiations, the mode is particularly powerful because it expresses the salary that most employees experience on a daily basis.</w:t>
      </w:r>
    </w:p>
    <w:p>
      <w:pPr>
        <w:pStyle w:val="Normal"/>
        <w:rPr/>
      </w:pPr>
      <w:r>
        <w:rPr/>
      </w:r>
    </w:p>
    <w:p>
      <w:pPr>
        <w:pStyle w:val="Heading1"/>
        <w:spacing w:before="360" w:after="180"/>
        <w:rPr/>
      </w:pPr>
      <w:r>
        <w:rPr>
          <w:rFonts w:eastAsia="Arial" w:cs="Arial" w:ascii="Arial" w:hAnsi="Arial"/>
          <w:b/>
          <w:bCs/>
          <w:color w:val="1F4E79"/>
          <w:sz w:val="32"/>
          <w:szCs w:val="32"/>
        </w:rPr>
        <w:t>5. Comparative Summary</w:t>
      </w:r>
    </w:p>
    <w:p>
      <w:pPr>
        <w:pStyle w:val="Normal"/>
        <w:spacing w:lineRule="exact" w:line="360" w:before="100" w:after="100"/>
        <w:jc w:val="both"/>
        <w:rPr/>
      </w:pPr>
      <w:r>
        <w:rPr>
          <w:rFonts w:eastAsia="Arial" w:cs="Arial"/>
          <w:sz w:val="22"/>
          <w:szCs w:val="22"/>
        </w:rPr>
        <w:t>The table below consolidates the three measures and contrasts their representational value in the context of this salary dispute:</w:t>
      </w:r>
    </w:p>
    <w:p>
      <w:pPr>
        <w:pStyle w:val="Normal"/>
        <w:rPr/>
      </w:pPr>
      <w:r>
        <w:rPr/>
      </w:r>
    </w:p>
    <w:tbl>
      <w:tblPr>
        <w:tblW w:w="9360" w:type="dxa"/>
        <w:jc w:val="left"/>
        <w:tblInd w:w="0" w:type="dxa"/>
        <w:tblLayout w:type="fixed"/>
        <w:tblCellMar>
          <w:top w:w="120" w:type="dxa"/>
          <w:left w:w="160" w:type="dxa"/>
          <w:bottom w:w="120" w:type="dxa"/>
          <w:right w:w="160" w:type="dxa"/>
        </w:tblCellMar>
      </w:tblPr>
      <w:tblGrid>
        <w:gridCol w:w="2340"/>
        <w:gridCol w:w="2340"/>
        <w:gridCol w:w="2340"/>
        <w:gridCol w:w="2339"/>
      </w:tblGrid>
      <w:tr>
        <w:trPr>
          <w:tblHeader w:val="true"/>
        </w:trPr>
        <w:tc>
          <w:tcPr>
            <w:tcW w:w="2340" w:type="dxa"/>
            <w:tcBorders>
              <w:top w:val="single" w:sz="4" w:space="0" w:color="1F4E79"/>
              <w:left w:val="single" w:sz="4" w:space="0" w:color="1F4E79"/>
              <w:bottom w:val="single" w:sz="4" w:space="0" w:color="1F4E79"/>
              <w:right w:val="single" w:sz="4" w:space="0" w:color="1F4E79"/>
            </w:tcBorders>
            <w:shd w:fill="2E74B5" w:val="clear"/>
          </w:tcPr>
          <w:p>
            <w:pPr>
              <w:pStyle w:val="Normal"/>
              <w:jc w:val="center"/>
              <w:rPr/>
            </w:pPr>
            <w:r>
              <w:rPr>
                <w:rFonts w:eastAsia="Arial" w:cs="Arial"/>
                <w:b/>
                <w:bCs/>
                <w:color w:val="FFFFFF"/>
                <w:sz w:val="22"/>
                <w:szCs w:val="22"/>
              </w:rPr>
              <w:t>Measure</w:t>
            </w:r>
          </w:p>
        </w:tc>
        <w:tc>
          <w:tcPr>
            <w:tcW w:w="2340" w:type="dxa"/>
            <w:tcBorders>
              <w:top w:val="single" w:sz="4" w:space="0" w:color="1F4E79"/>
              <w:left w:val="single" w:sz="4" w:space="0" w:color="1F4E79"/>
              <w:bottom w:val="single" w:sz="4" w:space="0" w:color="1F4E79"/>
              <w:right w:val="single" w:sz="4" w:space="0" w:color="1F4E79"/>
            </w:tcBorders>
            <w:shd w:fill="2E74B5" w:val="clear"/>
          </w:tcPr>
          <w:p>
            <w:pPr>
              <w:pStyle w:val="Normal"/>
              <w:jc w:val="center"/>
              <w:rPr/>
            </w:pPr>
            <w:r>
              <w:rPr>
                <w:rFonts w:eastAsia="Arial" w:cs="Arial"/>
                <w:b/>
                <w:bCs/>
                <w:color w:val="FFFFFF"/>
                <w:sz w:val="22"/>
                <w:szCs w:val="22"/>
              </w:rPr>
              <w:t>Value</w:t>
            </w:r>
          </w:p>
        </w:tc>
        <w:tc>
          <w:tcPr>
            <w:tcW w:w="2340" w:type="dxa"/>
            <w:tcBorders>
              <w:top w:val="single" w:sz="4" w:space="0" w:color="1F4E79"/>
              <w:left w:val="single" w:sz="4" w:space="0" w:color="1F4E79"/>
              <w:bottom w:val="single" w:sz="4" w:space="0" w:color="1F4E79"/>
              <w:right w:val="single" w:sz="4" w:space="0" w:color="1F4E79"/>
            </w:tcBorders>
            <w:shd w:fill="2E74B5" w:val="clear"/>
          </w:tcPr>
          <w:p>
            <w:pPr>
              <w:pStyle w:val="Normal"/>
              <w:jc w:val="center"/>
              <w:rPr/>
            </w:pPr>
            <w:r>
              <w:rPr>
                <w:rFonts w:eastAsia="Arial" w:cs="Arial"/>
                <w:b/>
                <w:bCs/>
                <w:color w:val="FFFFFF"/>
                <w:sz w:val="22"/>
                <w:szCs w:val="22"/>
              </w:rPr>
              <w:t>Represents</w:t>
            </w:r>
          </w:p>
        </w:tc>
        <w:tc>
          <w:tcPr>
            <w:tcW w:w="2339" w:type="dxa"/>
            <w:tcBorders>
              <w:top w:val="single" w:sz="4" w:space="0" w:color="1F4E79"/>
              <w:left w:val="single" w:sz="4" w:space="0" w:color="1F4E79"/>
              <w:bottom w:val="single" w:sz="4" w:space="0" w:color="1F4E79"/>
              <w:right w:val="single" w:sz="4" w:space="0" w:color="1F4E79"/>
            </w:tcBorders>
            <w:shd w:fill="2E74B5" w:val="clear"/>
          </w:tcPr>
          <w:p>
            <w:pPr>
              <w:pStyle w:val="Normal"/>
              <w:jc w:val="center"/>
              <w:rPr/>
            </w:pPr>
            <w:r>
              <w:rPr>
                <w:rFonts w:eastAsia="Arial" w:cs="Arial"/>
                <w:b/>
                <w:bCs/>
                <w:color w:val="FFFFFF"/>
                <w:sz w:val="22"/>
                <w:szCs w:val="22"/>
              </w:rPr>
              <w:t>Usefulness</w:t>
            </w:r>
          </w:p>
        </w:tc>
      </w:tr>
      <w:tr>
        <w:trPr/>
        <w:tc>
          <w:tcPr>
            <w:tcW w:w="2340" w:type="dxa"/>
            <w:tcBorders>
              <w:top w:val="single" w:sz="2" w:space="0" w:color="CCCCCC"/>
              <w:left w:val="single" w:sz="2" w:space="0" w:color="CCCCCC"/>
              <w:bottom w:val="single" w:sz="2" w:space="0" w:color="CCCCCC"/>
              <w:right w:val="single" w:sz="2" w:space="0" w:color="CCCCCC"/>
            </w:tcBorders>
            <w:shd w:fill="DEEAF1" w:val="clear"/>
            <w:tcMar>
              <w:top w:w="90" w:type="dxa"/>
              <w:bottom w:w="90" w:type="dxa"/>
            </w:tcMar>
          </w:tcPr>
          <w:p>
            <w:pPr>
              <w:pStyle w:val="Normal"/>
              <w:jc w:val="center"/>
              <w:rPr/>
            </w:pPr>
            <w:r>
              <w:rPr>
                <w:rFonts w:eastAsia="Arial" w:cs="Arial"/>
                <w:b/>
                <w:bCs/>
                <w:color w:val="000000"/>
                <w:sz w:val="20"/>
                <w:szCs w:val="20"/>
              </w:rPr>
              <w:t>Mean (Average)</w:t>
            </w:r>
          </w:p>
        </w:tc>
        <w:tc>
          <w:tcPr>
            <w:tcW w:w="2340" w:type="dxa"/>
            <w:tcBorders>
              <w:top w:val="single" w:sz="2" w:space="0" w:color="CCCCCC"/>
              <w:left w:val="single" w:sz="2" w:space="0" w:color="CCCCCC"/>
              <w:bottom w:val="single" w:sz="2" w:space="0" w:color="CCCCCC"/>
              <w:right w:val="single" w:sz="2" w:space="0" w:color="CCCCCC"/>
            </w:tcBorders>
            <w:shd w:fill="DEEAF1" w:val="clear"/>
            <w:tcMar>
              <w:top w:w="90" w:type="dxa"/>
              <w:bottom w:w="90" w:type="dxa"/>
            </w:tcMar>
          </w:tcPr>
          <w:p>
            <w:pPr>
              <w:pStyle w:val="Normal"/>
              <w:jc w:val="center"/>
              <w:rPr/>
            </w:pPr>
            <w:r>
              <w:rPr>
                <w:rFonts w:eastAsia="Arial" w:cs="Arial"/>
                <w:b w:val="false"/>
                <w:bCs w:val="false"/>
                <w:color w:val="000000"/>
                <w:sz w:val="20"/>
                <w:szCs w:val="20"/>
              </w:rPr>
              <w:t>$27,000</w:t>
            </w:r>
          </w:p>
        </w:tc>
        <w:tc>
          <w:tcPr>
            <w:tcW w:w="2340" w:type="dxa"/>
            <w:tcBorders>
              <w:top w:val="single" w:sz="2" w:space="0" w:color="CCCCCC"/>
              <w:left w:val="single" w:sz="2" w:space="0" w:color="CCCCCC"/>
              <w:bottom w:val="single" w:sz="2" w:space="0" w:color="CCCCCC"/>
              <w:right w:val="single" w:sz="2" w:space="0" w:color="CCCCCC"/>
            </w:tcBorders>
            <w:shd w:fill="DEEAF1" w:val="clear"/>
            <w:tcMar>
              <w:top w:w="90" w:type="dxa"/>
              <w:bottom w:w="90" w:type="dxa"/>
            </w:tcMar>
          </w:tcPr>
          <w:p>
            <w:pPr>
              <w:pStyle w:val="Normal"/>
              <w:jc w:val="center"/>
              <w:rPr/>
            </w:pPr>
            <w:r>
              <w:rPr>
                <w:rFonts w:eastAsia="Arial" w:cs="Arial"/>
                <w:b w:val="false"/>
                <w:bCs w:val="false"/>
                <w:color w:val="000000"/>
                <w:sz w:val="20"/>
                <w:szCs w:val="20"/>
              </w:rPr>
              <w:t>Skewed by executives</w:t>
            </w:r>
          </w:p>
        </w:tc>
        <w:tc>
          <w:tcPr>
            <w:tcW w:w="2339" w:type="dxa"/>
            <w:tcBorders>
              <w:top w:val="single" w:sz="2" w:space="0" w:color="CCCCCC"/>
              <w:left w:val="single" w:sz="2" w:space="0" w:color="CCCCCC"/>
              <w:bottom w:val="single" w:sz="2" w:space="0" w:color="CCCCCC"/>
              <w:right w:val="single" w:sz="2" w:space="0" w:color="CCCCCC"/>
            </w:tcBorders>
            <w:shd w:fill="DEEAF1" w:val="clear"/>
            <w:tcMar>
              <w:top w:w="90" w:type="dxa"/>
              <w:bottom w:w="90" w:type="dxa"/>
            </w:tcMar>
          </w:tcPr>
          <w:p>
            <w:pPr>
              <w:pStyle w:val="Normal"/>
              <w:jc w:val="center"/>
              <w:rPr/>
            </w:pPr>
            <w:r>
              <w:rPr>
                <w:rFonts w:eastAsia="Arial" w:cs="Arial"/>
                <w:b w:val="false"/>
                <w:bCs w:val="false"/>
                <w:color w:val="C00000"/>
                <w:sz w:val="20"/>
                <w:szCs w:val="20"/>
              </w:rPr>
              <w:t>Misleading — hides outliers</w:t>
            </w:r>
          </w:p>
        </w:tc>
      </w:tr>
      <w:tr>
        <w:trPr/>
        <w:tc>
          <w:tcPr>
            <w:tcW w:w="2340" w:type="dxa"/>
            <w:tcBorders>
              <w:top w:val="single" w:sz="2" w:space="0" w:color="CCCCCC"/>
              <w:left w:val="single" w:sz="2" w:space="0" w:color="CCCCCC"/>
              <w:bottom w:val="single" w:sz="2" w:space="0" w:color="CCCCCC"/>
              <w:right w:val="single" w:sz="2" w:space="0" w:color="CCCCCC"/>
            </w:tcBorders>
            <w:shd w:fill="FFFFFF" w:val="clear"/>
            <w:tcMar>
              <w:top w:w="90" w:type="dxa"/>
              <w:bottom w:w="90" w:type="dxa"/>
            </w:tcMar>
          </w:tcPr>
          <w:p>
            <w:pPr>
              <w:pStyle w:val="Normal"/>
              <w:jc w:val="center"/>
              <w:rPr/>
            </w:pPr>
            <w:r>
              <w:rPr>
                <w:rFonts w:eastAsia="Arial" w:cs="Arial"/>
                <w:b/>
                <w:bCs/>
                <w:color w:val="000000"/>
                <w:sz w:val="20"/>
                <w:szCs w:val="20"/>
              </w:rPr>
              <w:t>Median (Middle)</w:t>
            </w:r>
          </w:p>
        </w:tc>
        <w:tc>
          <w:tcPr>
            <w:tcW w:w="2340" w:type="dxa"/>
            <w:tcBorders>
              <w:top w:val="single" w:sz="2" w:space="0" w:color="CCCCCC"/>
              <w:left w:val="single" w:sz="2" w:space="0" w:color="CCCCCC"/>
              <w:bottom w:val="single" w:sz="2" w:space="0" w:color="CCCCCC"/>
              <w:right w:val="single" w:sz="2" w:space="0" w:color="CCCCCC"/>
            </w:tcBorders>
            <w:shd w:fill="FFFFFF" w:val="clear"/>
            <w:tcMar>
              <w:top w:w="90" w:type="dxa"/>
              <w:bottom w:w="90" w:type="dxa"/>
            </w:tcMar>
          </w:tcPr>
          <w:p>
            <w:pPr>
              <w:pStyle w:val="Normal"/>
              <w:jc w:val="center"/>
              <w:rPr/>
            </w:pPr>
            <w:r>
              <w:rPr>
                <w:rFonts w:eastAsia="Arial" w:cs="Arial"/>
                <w:b w:val="false"/>
                <w:bCs w:val="false"/>
                <w:color w:val="000000"/>
                <w:sz w:val="20"/>
                <w:szCs w:val="20"/>
              </w:rPr>
              <w:t>$12,000</w:t>
            </w:r>
          </w:p>
        </w:tc>
        <w:tc>
          <w:tcPr>
            <w:tcW w:w="2340" w:type="dxa"/>
            <w:tcBorders>
              <w:top w:val="single" w:sz="2" w:space="0" w:color="CCCCCC"/>
              <w:left w:val="single" w:sz="2" w:space="0" w:color="CCCCCC"/>
              <w:bottom w:val="single" w:sz="2" w:space="0" w:color="CCCCCC"/>
              <w:right w:val="single" w:sz="2" w:space="0" w:color="CCCCCC"/>
            </w:tcBorders>
            <w:shd w:fill="FFFFFF" w:val="clear"/>
            <w:tcMar>
              <w:top w:w="90" w:type="dxa"/>
              <w:bottom w:w="90" w:type="dxa"/>
            </w:tcMar>
          </w:tcPr>
          <w:p>
            <w:pPr>
              <w:pStyle w:val="Normal"/>
              <w:jc w:val="center"/>
              <w:rPr/>
            </w:pPr>
            <w:r>
              <w:rPr>
                <w:rFonts w:eastAsia="Arial" w:cs="Arial"/>
                <w:b w:val="false"/>
                <w:bCs w:val="false"/>
                <w:color w:val="000000"/>
                <w:sz w:val="20"/>
                <w:szCs w:val="20"/>
              </w:rPr>
              <w:t>Middle employee salary</w:t>
            </w:r>
          </w:p>
        </w:tc>
        <w:tc>
          <w:tcPr>
            <w:tcW w:w="2339" w:type="dxa"/>
            <w:tcBorders>
              <w:top w:val="single" w:sz="2" w:space="0" w:color="CCCCCC"/>
              <w:left w:val="single" w:sz="2" w:space="0" w:color="CCCCCC"/>
              <w:bottom w:val="single" w:sz="2" w:space="0" w:color="CCCCCC"/>
              <w:right w:val="single" w:sz="2" w:space="0" w:color="CCCCCC"/>
            </w:tcBorders>
            <w:shd w:fill="FFFFFF" w:val="clear"/>
            <w:tcMar>
              <w:top w:w="90" w:type="dxa"/>
              <w:bottom w:w="90" w:type="dxa"/>
            </w:tcMar>
          </w:tcPr>
          <w:p>
            <w:pPr>
              <w:pStyle w:val="Normal"/>
              <w:jc w:val="center"/>
              <w:rPr/>
            </w:pPr>
            <w:r>
              <w:rPr>
                <w:rFonts w:eastAsia="Arial" w:cs="Arial"/>
                <w:b w:val="false"/>
                <w:bCs w:val="false"/>
                <w:color w:val="375623"/>
                <w:sz w:val="20"/>
                <w:szCs w:val="20"/>
              </w:rPr>
              <w:t>Accurate — reflects majority</w:t>
            </w:r>
          </w:p>
        </w:tc>
      </w:tr>
      <w:tr>
        <w:trPr/>
        <w:tc>
          <w:tcPr>
            <w:tcW w:w="2340" w:type="dxa"/>
            <w:tcBorders>
              <w:top w:val="single" w:sz="2" w:space="0" w:color="CCCCCC"/>
              <w:left w:val="single" w:sz="2" w:space="0" w:color="CCCCCC"/>
              <w:bottom w:val="single" w:sz="2" w:space="0" w:color="CCCCCC"/>
              <w:right w:val="single" w:sz="2" w:space="0" w:color="CCCCCC"/>
            </w:tcBorders>
            <w:shd w:fill="DEEAF1" w:val="clear"/>
            <w:tcMar>
              <w:top w:w="90" w:type="dxa"/>
              <w:bottom w:w="90" w:type="dxa"/>
            </w:tcMar>
          </w:tcPr>
          <w:p>
            <w:pPr>
              <w:pStyle w:val="Normal"/>
              <w:jc w:val="center"/>
              <w:rPr/>
            </w:pPr>
            <w:r>
              <w:rPr>
                <w:rFonts w:eastAsia="Arial" w:cs="Arial"/>
                <w:b/>
                <w:bCs/>
                <w:color w:val="000000"/>
                <w:sz w:val="20"/>
                <w:szCs w:val="20"/>
              </w:rPr>
              <w:t>Mode (Most Common)</w:t>
            </w:r>
          </w:p>
        </w:tc>
        <w:tc>
          <w:tcPr>
            <w:tcW w:w="2340" w:type="dxa"/>
            <w:tcBorders>
              <w:top w:val="single" w:sz="2" w:space="0" w:color="CCCCCC"/>
              <w:left w:val="single" w:sz="2" w:space="0" w:color="CCCCCC"/>
              <w:bottom w:val="single" w:sz="2" w:space="0" w:color="CCCCCC"/>
              <w:right w:val="single" w:sz="2" w:space="0" w:color="CCCCCC"/>
            </w:tcBorders>
            <w:shd w:fill="DEEAF1" w:val="clear"/>
            <w:tcMar>
              <w:top w:w="90" w:type="dxa"/>
              <w:bottom w:w="90" w:type="dxa"/>
            </w:tcMar>
          </w:tcPr>
          <w:p>
            <w:pPr>
              <w:pStyle w:val="Normal"/>
              <w:jc w:val="center"/>
              <w:rPr/>
            </w:pPr>
            <w:r>
              <w:rPr>
                <w:rFonts w:eastAsia="Arial" w:cs="Arial"/>
                <w:b w:val="false"/>
                <w:bCs w:val="false"/>
                <w:color w:val="000000"/>
                <w:sz w:val="20"/>
                <w:szCs w:val="20"/>
              </w:rPr>
              <w:t>$12,000</w:t>
            </w:r>
          </w:p>
        </w:tc>
        <w:tc>
          <w:tcPr>
            <w:tcW w:w="2340" w:type="dxa"/>
            <w:tcBorders>
              <w:top w:val="single" w:sz="2" w:space="0" w:color="CCCCCC"/>
              <w:left w:val="single" w:sz="2" w:space="0" w:color="CCCCCC"/>
              <w:bottom w:val="single" w:sz="2" w:space="0" w:color="CCCCCC"/>
              <w:right w:val="single" w:sz="2" w:space="0" w:color="CCCCCC"/>
            </w:tcBorders>
            <w:shd w:fill="DEEAF1" w:val="clear"/>
            <w:tcMar>
              <w:top w:w="90" w:type="dxa"/>
              <w:bottom w:w="90" w:type="dxa"/>
            </w:tcMar>
          </w:tcPr>
          <w:p>
            <w:pPr>
              <w:pStyle w:val="Normal"/>
              <w:jc w:val="center"/>
              <w:rPr/>
            </w:pPr>
            <w:r>
              <w:rPr>
                <w:rFonts w:eastAsia="Arial" w:cs="Arial"/>
                <w:b w:val="false"/>
                <w:bCs w:val="false"/>
                <w:color w:val="000000"/>
                <w:sz w:val="20"/>
                <w:szCs w:val="20"/>
              </w:rPr>
              <w:t>Most frequent salary</w:t>
            </w:r>
          </w:p>
        </w:tc>
        <w:tc>
          <w:tcPr>
            <w:tcW w:w="2339" w:type="dxa"/>
            <w:tcBorders>
              <w:top w:val="single" w:sz="2" w:space="0" w:color="CCCCCC"/>
              <w:left w:val="single" w:sz="2" w:space="0" w:color="CCCCCC"/>
              <w:bottom w:val="single" w:sz="2" w:space="0" w:color="CCCCCC"/>
              <w:right w:val="single" w:sz="2" w:space="0" w:color="CCCCCC"/>
            </w:tcBorders>
            <w:shd w:fill="DEEAF1" w:val="clear"/>
            <w:tcMar>
              <w:top w:w="90" w:type="dxa"/>
              <w:bottom w:w="90" w:type="dxa"/>
            </w:tcMar>
          </w:tcPr>
          <w:p>
            <w:pPr>
              <w:pStyle w:val="Normal"/>
              <w:jc w:val="center"/>
              <w:rPr/>
            </w:pPr>
            <w:r>
              <w:rPr>
                <w:rFonts w:eastAsia="Arial" w:cs="Arial"/>
                <w:b w:val="false"/>
                <w:bCs w:val="false"/>
                <w:color w:val="375623"/>
                <w:sz w:val="20"/>
                <w:szCs w:val="20"/>
              </w:rPr>
              <w:t>Accurate — shows most workers</w:t>
            </w:r>
          </w:p>
        </w:tc>
      </w:tr>
    </w:tbl>
    <w:p>
      <w:pPr>
        <w:pStyle w:val="Normal"/>
        <w:rPr/>
      </w:pPr>
      <w:r>
        <w:rPr/>
      </w:r>
    </w:p>
    <w:p>
      <w:pPr>
        <w:pStyle w:val="Normal"/>
        <w:spacing w:lineRule="exact" w:line="360" w:before="100" w:after="100"/>
        <w:jc w:val="both"/>
        <w:rPr/>
      </w:pPr>
      <w:r>
        <w:rPr>
          <w:rFonts w:eastAsia="Arial" w:cs="Arial"/>
          <w:sz w:val="22"/>
          <w:szCs w:val="22"/>
        </w:rPr>
        <w:t>The disparity between the mean ($27,000) and the median/mode ($12,000–$13,000) of approximately $14,000–$15,000 is staggering. This gap is not a statistical coincidence — it is a direct consequence of extreme income inequality within the organisation. Such a large spread between the mean and median is a reliable indicator of a skewed distribution and should trigger scrutiny from regulators, auditors, and labour boards.</w:t>
      </w:r>
    </w:p>
    <w:p>
      <w:pPr>
        <w:pStyle w:val="Normal"/>
        <w:rPr/>
      </w:pPr>
      <w:r>
        <w:rPr/>
      </w:r>
    </w:p>
    <w:p>
      <w:pPr>
        <w:pStyle w:val="Heading1"/>
        <w:spacing w:before="360" w:after="180"/>
        <w:rPr/>
      </w:pPr>
      <w:r>
        <w:rPr>
          <w:rFonts w:eastAsia="Arial" w:cs="Arial" w:ascii="Arial" w:hAnsi="Arial"/>
          <w:b/>
          <w:bCs/>
          <w:color w:val="1F4E79"/>
          <w:sz w:val="32"/>
          <w:szCs w:val="32"/>
        </w:rPr>
        <w:t>6. Key Concepts in Data Analytics</w:t>
      </w:r>
    </w:p>
    <w:p>
      <w:pPr>
        <w:pStyle w:val="Normal"/>
        <w:pBdr>
          <w:bottom w:val="single" w:sz="6" w:space="1" w:color="2E74B5"/>
        </w:pBdr>
        <w:spacing w:before="160" w:after="160"/>
        <w:rPr/>
      </w:pPr>
      <w:r>
        <w:rPr/>
      </w:r>
    </w:p>
    <w:p>
      <w:pPr>
        <w:pStyle w:val="Heading2"/>
        <w:spacing w:before="280" w:after="140"/>
        <w:rPr/>
      </w:pPr>
      <w:r>
        <w:rPr>
          <w:rFonts w:eastAsia="Arial" w:cs="Arial" w:ascii="Arial" w:hAnsi="Arial"/>
          <w:b/>
          <w:bCs/>
          <w:color w:val="2E74B5"/>
          <w:sz w:val="26"/>
          <w:szCs w:val="26"/>
        </w:rPr>
        <w:t>6.1  Skewness and Distribution Shape</w:t>
      </w:r>
    </w:p>
    <w:p>
      <w:pPr>
        <w:pStyle w:val="Normal"/>
        <w:spacing w:lineRule="exact" w:line="360" w:before="100" w:after="100"/>
        <w:jc w:val="both"/>
        <w:rPr/>
      </w:pPr>
      <w:r>
        <w:rPr>
          <w:rFonts w:eastAsia="Arial" w:cs="Arial"/>
          <w:sz w:val="22"/>
          <w:szCs w:val="22"/>
        </w:rPr>
        <w:t>When a salary distribution is positively skewed (right-skewed), the mean is pulled to the right of the median and mode. In this case study:</w:t>
      </w:r>
    </w:p>
    <w:p>
      <w:pPr>
        <w:pStyle w:val="Normal"/>
        <w:rPr/>
      </w:pPr>
      <w:r>
        <w:rPr/>
      </w:r>
    </w:p>
    <w:p>
      <w:pPr>
        <w:pStyle w:val="ListParagraph"/>
        <w:numPr>
          <w:ilvl w:val="0"/>
          <w:numId w:val="1"/>
        </w:numPr>
        <w:spacing w:lineRule="exact" w:line="320" w:before="80" w:after="80"/>
        <w:rPr/>
      </w:pPr>
      <w:r>
        <w:rPr>
          <w:rFonts w:eastAsia="Arial" w:cs="Arial"/>
          <w:sz w:val="22"/>
          <w:szCs w:val="22"/>
        </w:rPr>
        <w:t>Mean ($27,000) &gt; Median ($13,000) &gt; Mode ($12,000)</w:t>
      </w:r>
    </w:p>
    <w:p>
      <w:pPr>
        <w:pStyle w:val="ListParagraph"/>
        <w:numPr>
          <w:ilvl w:val="0"/>
          <w:numId w:val="1"/>
        </w:numPr>
        <w:spacing w:lineRule="exact" w:line="320" w:before="80" w:after="80"/>
        <w:rPr/>
      </w:pPr>
      <w:r>
        <w:rPr>
          <w:rFonts w:eastAsia="Arial" w:cs="Arial"/>
          <w:sz w:val="22"/>
          <w:szCs w:val="22"/>
        </w:rPr>
        <w:t>This pattern confirms positive skewness caused by high executive outliers</w:t>
      </w:r>
    </w:p>
    <w:p>
      <w:pPr>
        <w:pStyle w:val="ListParagraph"/>
        <w:numPr>
          <w:ilvl w:val="0"/>
          <w:numId w:val="1"/>
        </w:numPr>
        <w:spacing w:lineRule="exact" w:line="320" w:before="80" w:after="80"/>
        <w:rPr/>
      </w:pPr>
      <w:r>
        <w:rPr>
          <w:rFonts w:eastAsia="Arial" w:cs="Arial"/>
          <w:sz w:val="22"/>
          <w:szCs w:val="22"/>
        </w:rPr>
        <w:t>In positively skewed distributions, the median is always the most appropriate measure of central tendency</w:t>
      </w:r>
    </w:p>
    <w:p>
      <w:pPr>
        <w:pStyle w:val="Normal"/>
        <w:rPr/>
      </w:pPr>
      <w:r>
        <w:rPr/>
      </w:r>
    </w:p>
    <w:p>
      <w:pPr>
        <w:pStyle w:val="Heading2"/>
        <w:spacing w:before="280" w:after="140"/>
        <w:rPr/>
      </w:pPr>
      <w:r>
        <w:rPr>
          <w:rFonts w:eastAsia="Arial" w:cs="Arial" w:ascii="Arial" w:hAnsi="Arial"/>
          <w:b/>
          <w:bCs/>
          <w:color w:val="2E74B5"/>
          <w:sz w:val="26"/>
          <w:szCs w:val="26"/>
        </w:rPr>
        <w:t>6.2  Outliers and Their Impact</w:t>
      </w:r>
    </w:p>
    <w:p>
      <w:pPr>
        <w:pStyle w:val="Normal"/>
        <w:spacing w:lineRule="exact" w:line="360" w:before="100" w:after="100"/>
        <w:jc w:val="both"/>
        <w:rPr/>
      </w:pPr>
      <w:r>
        <w:rPr>
          <w:rFonts w:eastAsia="Arial" w:cs="Arial"/>
          <w:sz w:val="22"/>
          <w:szCs w:val="22"/>
        </w:rPr>
        <w:t>An outlier is a data point that lies significantly far from the rest of the distribution. In this dataset, the CEO's salary ($95,000) and the COO's salary ($79,000) are statistical outliers. These two values:</w:t>
      </w:r>
    </w:p>
    <w:p>
      <w:pPr>
        <w:pStyle w:val="Normal"/>
        <w:rPr/>
      </w:pPr>
      <w:r>
        <w:rPr/>
      </w:r>
    </w:p>
    <w:p>
      <w:pPr>
        <w:pStyle w:val="ListParagraph"/>
        <w:numPr>
          <w:ilvl w:val="0"/>
          <w:numId w:val="1"/>
        </w:numPr>
        <w:spacing w:lineRule="exact" w:line="320" w:before="80" w:after="80"/>
        <w:rPr/>
      </w:pPr>
      <w:r>
        <w:rPr>
          <w:rFonts w:eastAsia="Arial" w:cs="Arial"/>
          <w:sz w:val="22"/>
          <w:szCs w:val="22"/>
        </w:rPr>
        <w:t>Inflate the mean by approximately $15,000 compared to what most employees earn</w:t>
      </w:r>
    </w:p>
    <w:p>
      <w:pPr>
        <w:pStyle w:val="ListParagraph"/>
        <w:numPr>
          <w:ilvl w:val="0"/>
          <w:numId w:val="1"/>
        </w:numPr>
        <w:spacing w:lineRule="exact" w:line="320" w:before="80" w:after="80"/>
        <w:rPr/>
      </w:pPr>
      <w:r>
        <w:rPr>
          <w:rFonts w:eastAsia="Arial" w:cs="Arial"/>
          <w:sz w:val="22"/>
          <w:szCs w:val="22"/>
        </w:rPr>
        <w:t>Have no effect on the median (which remains $13,000 regardless)</w:t>
      </w:r>
    </w:p>
    <w:p>
      <w:pPr>
        <w:pStyle w:val="ListParagraph"/>
        <w:numPr>
          <w:ilvl w:val="0"/>
          <w:numId w:val="1"/>
        </w:numPr>
        <w:spacing w:lineRule="exact" w:line="320" w:before="80" w:after="80"/>
        <w:rPr/>
      </w:pPr>
      <w:r>
        <w:rPr>
          <w:rFonts w:eastAsia="Arial" w:cs="Arial"/>
          <w:sz w:val="22"/>
          <w:szCs w:val="22"/>
        </w:rPr>
        <w:t>Have no effect on the mode (which remains $12,000 regardless)</w:t>
      </w:r>
    </w:p>
    <w:p>
      <w:pPr>
        <w:pStyle w:val="Normal"/>
        <w:rPr/>
      </w:pPr>
      <w:r>
        <w:rPr/>
      </w:r>
    </w:p>
    <w:p>
      <w:pPr>
        <w:pStyle w:val="Heading2"/>
        <w:spacing w:before="280" w:after="140"/>
        <w:rPr/>
      </w:pPr>
      <w:r>
        <w:rPr>
          <w:rFonts w:eastAsia="Arial" w:cs="Arial" w:ascii="Arial" w:hAnsi="Arial"/>
          <w:b/>
          <w:bCs/>
          <w:color w:val="2E74B5"/>
          <w:sz w:val="26"/>
          <w:szCs w:val="26"/>
        </w:rPr>
        <w:t>6.3  Ethical Dimension of Statistical Reporting</w:t>
      </w:r>
    </w:p>
    <w:p>
      <w:pPr>
        <w:pStyle w:val="Normal"/>
        <w:spacing w:lineRule="exact" w:line="360" w:before="100" w:after="100"/>
        <w:jc w:val="both"/>
        <w:rPr/>
      </w:pPr>
      <w:r>
        <w:rPr>
          <w:rFonts w:eastAsia="Arial" w:cs="Arial"/>
          <w:sz w:val="22"/>
          <w:szCs w:val="22"/>
        </w:rPr>
        <w:t>Data analysts and organisations bear an ethical responsibility to report statistics accurately and transparently. Using the mean in this context — without disclosing the distribution details — constitutes statistical manipulation. Ethical data analytics requires:</w:t>
      </w:r>
    </w:p>
    <w:p>
      <w:pPr>
        <w:pStyle w:val="Normal"/>
        <w:rPr/>
      </w:pPr>
      <w:r>
        <w:rPr/>
      </w:r>
    </w:p>
    <w:p>
      <w:pPr>
        <w:pStyle w:val="ListParagraph"/>
        <w:numPr>
          <w:ilvl w:val="0"/>
          <w:numId w:val="1"/>
        </w:numPr>
        <w:spacing w:lineRule="exact" w:line="320" w:before="80" w:after="80"/>
        <w:rPr/>
      </w:pPr>
      <w:r>
        <w:rPr>
          <w:rFonts w:eastAsia="Arial" w:cs="Arial"/>
          <w:sz w:val="22"/>
          <w:szCs w:val="22"/>
        </w:rPr>
        <w:t>Reporting multiple measures of central tendency when distributions are skewed</w:t>
      </w:r>
    </w:p>
    <w:p>
      <w:pPr>
        <w:pStyle w:val="ListParagraph"/>
        <w:numPr>
          <w:ilvl w:val="0"/>
          <w:numId w:val="1"/>
        </w:numPr>
        <w:spacing w:lineRule="exact" w:line="320" w:before="80" w:after="80"/>
        <w:rPr/>
      </w:pPr>
      <w:r>
        <w:rPr>
          <w:rFonts w:eastAsia="Arial" w:cs="Arial"/>
          <w:sz w:val="22"/>
          <w:szCs w:val="22"/>
        </w:rPr>
        <w:t>Disclosing sample size, minimum, maximum, and standard deviation alongside averages</w:t>
      </w:r>
    </w:p>
    <w:p>
      <w:pPr>
        <w:pStyle w:val="ListParagraph"/>
        <w:numPr>
          <w:ilvl w:val="0"/>
          <w:numId w:val="1"/>
        </w:numPr>
        <w:spacing w:lineRule="exact" w:line="320" w:before="80" w:after="80"/>
        <w:rPr/>
      </w:pPr>
      <w:r>
        <w:rPr>
          <w:rFonts w:eastAsia="Arial" w:cs="Arial"/>
          <w:sz w:val="22"/>
          <w:szCs w:val="22"/>
        </w:rPr>
        <w:t>Providing histograms or box plots for visual transparency</w:t>
      </w:r>
    </w:p>
    <w:p>
      <w:pPr>
        <w:pStyle w:val="ListParagraph"/>
        <w:numPr>
          <w:ilvl w:val="0"/>
          <w:numId w:val="1"/>
        </w:numPr>
        <w:spacing w:lineRule="exact" w:line="320" w:before="80" w:after="80"/>
        <w:rPr/>
      </w:pPr>
      <w:r>
        <w:rPr>
          <w:rFonts w:eastAsia="Arial" w:cs="Arial"/>
          <w:sz w:val="22"/>
          <w:szCs w:val="22"/>
        </w:rPr>
        <w:t>Distinguishing between 'average' and 'typical' in public communications</w:t>
      </w:r>
    </w:p>
    <w:p>
      <w:pPr>
        <w:pStyle w:val="Normal"/>
        <w:rPr/>
      </w:pPr>
      <w:r>
        <w:rPr/>
      </w:r>
    </w:p>
    <w:p>
      <w:pPr>
        <w:pStyle w:val="Heading1"/>
        <w:spacing w:before="360" w:after="180"/>
        <w:rPr/>
      </w:pPr>
      <w:r>
        <w:rPr>
          <w:rFonts w:eastAsia="Arial" w:cs="Arial" w:ascii="Arial" w:hAnsi="Arial"/>
          <w:b/>
          <w:bCs/>
          <w:color w:val="1F4E79"/>
          <w:sz w:val="32"/>
          <w:szCs w:val="32"/>
        </w:rPr>
        <w:t>7. Data Analytics Tools Application</w:t>
      </w:r>
    </w:p>
    <w:p>
      <w:pPr>
        <w:pStyle w:val="Normal"/>
        <w:spacing w:lineRule="exact" w:line="360" w:before="100" w:after="100"/>
        <w:jc w:val="both"/>
        <w:rPr/>
      </w:pPr>
      <w:r>
        <w:rPr>
          <w:rFonts w:eastAsia="Arial" w:cs="Arial"/>
          <w:sz w:val="22"/>
          <w:szCs w:val="22"/>
        </w:rPr>
        <w:t>In the context of this case study, several data analytics tools can be applied to verify, visualise, and communicate the statistical findings:</w:t>
      </w:r>
    </w:p>
    <w:p>
      <w:pPr>
        <w:pStyle w:val="Normal"/>
        <w:rPr/>
      </w:pPr>
      <w:r>
        <w:rPr/>
      </w:r>
    </w:p>
    <w:p>
      <w:pPr>
        <w:pStyle w:val="Heading2"/>
        <w:spacing w:before="280" w:after="140"/>
        <w:rPr/>
      </w:pPr>
      <w:r>
        <w:rPr>
          <w:rFonts w:eastAsia="Arial" w:cs="Arial" w:ascii="Arial" w:hAnsi="Arial"/>
          <w:b/>
          <w:bCs/>
          <w:color w:val="2E74B5"/>
          <w:sz w:val="26"/>
          <w:szCs w:val="26"/>
        </w:rPr>
        <w:t>7.1  Microsoft Excel / Google Sheets</w:t>
      </w:r>
    </w:p>
    <w:p>
      <w:pPr>
        <w:pStyle w:val="ListParagraph"/>
        <w:numPr>
          <w:ilvl w:val="0"/>
          <w:numId w:val="1"/>
        </w:numPr>
        <w:spacing w:lineRule="exact" w:line="320" w:before="80" w:after="80"/>
        <w:rPr/>
      </w:pPr>
      <w:r>
        <w:rPr>
          <w:rFonts w:eastAsia="Arial" w:cs="Arial"/>
          <w:sz w:val="22"/>
          <w:szCs w:val="22"/>
        </w:rPr>
        <w:t>Use AVERAGE(), MEDIAN(), and MODE() functions to instantly compute all three measures</w:t>
      </w:r>
    </w:p>
    <w:p>
      <w:pPr>
        <w:pStyle w:val="ListParagraph"/>
        <w:numPr>
          <w:ilvl w:val="0"/>
          <w:numId w:val="1"/>
        </w:numPr>
        <w:spacing w:lineRule="exact" w:line="320" w:before="80" w:after="80"/>
        <w:rPr/>
      </w:pPr>
      <w:r>
        <w:rPr>
          <w:rFonts w:eastAsia="Arial" w:cs="Arial"/>
          <w:sz w:val="22"/>
          <w:szCs w:val="22"/>
        </w:rPr>
        <w:t>Create box-and-whisker plots to visualise salary spread and identify outliers</w:t>
      </w:r>
    </w:p>
    <w:p>
      <w:pPr>
        <w:pStyle w:val="ListParagraph"/>
        <w:numPr>
          <w:ilvl w:val="0"/>
          <w:numId w:val="1"/>
        </w:numPr>
        <w:spacing w:lineRule="exact" w:line="320" w:before="80" w:after="80"/>
        <w:rPr/>
      </w:pPr>
      <w:r>
        <w:rPr>
          <w:rFonts w:eastAsia="Arial" w:cs="Arial"/>
          <w:sz w:val="22"/>
          <w:szCs w:val="22"/>
        </w:rPr>
        <w:t>Use conditional formatting to highlight salaries below the median</w:t>
      </w:r>
    </w:p>
    <w:p>
      <w:pPr>
        <w:pStyle w:val="Normal"/>
        <w:rPr/>
      </w:pPr>
      <w:r>
        <w:rPr/>
      </w:r>
    </w:p>
    <w:p>
      <w:pPr>
        <w:pStyle w:val="Heading2"/>
        <w:spacing w:before="280" w:after="140"/>
        <w:rPr/>
      </w:pPr>
      <w:r>
        <w:rPr>
          <w:rFonts w:eastAsia="Arial" w:cs="Arial" w:ascii="Arial" w:hAnsi="Arial"/>
          <w:b/>
          <w:bCs/>
          <w:color w:val="2E74B5"/>
          <w:sz w:val="26"/>
          <w:szCs w:val="26"/>
        </w:rPr>
        <w:t>7.2  Python (Pandas, NumPy, Matplotlib/Seaborn)</w:t>
      </w:r>
    </w:p>
    <w:p>
      <w:pPr>
        <w:pStyle w:val="ListParagraph"/>
        <w:numPr>
          <w:ilvl w:val="0"/>
          <w:numId w:val="1"/>
        </w:numPr>
        <w:spacing w:lineRule="exact" w:line="320" w:before="80" w:after="80"/>
        <w:rPr/>
      </w:pPr>
      <w:r>
        <w:rPr>
          <w:rFonts w:eastAsia="Arial" w:cs="Arial"/>
          <w:sz w:val="22"/>
          <w:szCs w:val="22"/>
        </w:rPr>
        <w:t>pandas.DataFrame.describe() provides mean, std dev, quartiles at once</w:t>
      </w:r>
    </w:p>
    <w:p>
      <w:pPr>
        <w:pStyle w:val="ListParagraph"/>
        <w:numPr>
          <w:ilvl w:val="0"/>
          <w:numId w:val="1"/>
        </w:numPr>
        <w:spacing w:lineRule="exact" w:line="320" w:before="80" w:after="80"/>
        <w:rPr/>
      </w:pPr>
      <w:r>
        <w:rPr>
          <w:rFonts w:eastAsia="Arial" w:cs="Arial"/>
          <w:sz w:val="22"/>
          <w:szCs w:val="22"/>
        </w:rPr>
        <w:t>scipy.stats.skew() quantifies the degree of distributional skewness</w:t>
      </w:r>
    </w:p>
    <w:p>
      <w:pPr>
        <w:pStyle w:val="ListParagraph"/>
        <w:numPr>
          <w:ilvl w:val="0"/>
          <w:numId w:val="1"/>
        </w:numPr>
        <w:spacing w:lineRule="exact" w:line="320" w:before="80" w:after="80"/>
        <w:rPr/>
      </w:pPr>
      <w:r>
        <w:rPr>
          <w:rFonts w:eastAsia="Arial" w:cs="Arial"/>
          <w:sz w:val="22"/>
          <w:szCs w:val="22"/>
        </w:rPr>
        <w:t>Histogram and KDE plots reveal the full salary distribution shape visually</w:t>
      </w:r>
    </w:p>
    <w:p>
      <w:pPr>
        <w:pStyle w:val="ListParagraph"/>
        <w:numPr>
          <w:ilvl w:val="0"/>
          <w:numId w:val="1"/>
        </w:numPr>
        <w:spacing w:lineRule="exact" w:line="320" w:before="80" w:after="80"/>
        <w:rPr/>
      </w:pPr>
      <w:r>
        <w:rPr>
          <w:rFonts w:eastAsia="Arial" w:cs="Arial"/>
          <w:sz w:val="22"/>
          <w:szCs w:val="22"/>
        </w:rPr>
        <w:t>Box plots using Seaborn clearly mark outliers (executive salaries)</w:t>
      </w:r>
    </w:p>
    <w:p>
      <w:pPr>
        <w:pStyle w:val="Normal"/>
        <w:rPr/>
      </w:pPr>
      <w:r>
        <w:rPr/>
      </w:r>
    </w:p>
    <w:p>
      <w:pPr>
        <w:pStyle w:val="Heading2"/>
        <w:spacing w:before="280" w:after="140"/>
        <w:rPr/>
      </w:pPr>
      <w:r>
        <w:rPr>
          <w:rFonts w:eastAsia="Arial" w:cs="Arial" w:ascii="Arial" w:hAnsi="Arial"/>
          <w:b/>
          <w:bCs/>
          <w:color w:val="2E74B5"/>
          <w:sz w:val="26"/>
          <w:szCs w:val="26"/>
        </w:rPr>
        <w:t>7.3  R Statistical Software</w:t>
      </w:r>
    </w:p>
    <w:p>
      <w:pPr>
        <w:pStyle w:val="ListParagraph"/>
        <w:numPr>
          <w:ilvl w:val="0"/>
          <w:numId w:val="1"/>
        </w:numPr>
        <w:spacing w:lineRule="exact" w:line="320" w:before="80" w:after="80"/>
        <w:rPr/>
      </w:pPr>
      <w:r>
        <w:rPr>
          <w:rFonts w:eastAsia="Arial" w:cs="Arial"/>
          <w:sz w:val="22"/>
          <w:szCs w:val="22"/>
        </w:rPr>
        <w:t>summary() function in R provides all key descriptive statistics</w:t>
      </w:r>
    </w:p>
    <w:p>
      <w:pPr>
        <w:pStyle w:val="ListParagraph"/>
        <w:numPr>
          <w:ilvl w:val="0"/>
          <w:numId w:val="1"/>
        </w:numPr>
        <w:spacing w:lineRule="exact" w:line="320" w:before="80" w:after="80"/>
        <w:rPr/>
      </w:pPr>
      <w:r>
        <w:rPr>
          <w:rFonts w:eastAsia="Arial" w:cs="Arial"/>
          <w:sz w:val="22"/>
          <w:szCs w:val="22"/>
        </w:rPr>
        <w:t>ggplot2 library for publication-quality salary distribution charts</w:t>
      </w:r>
    </w:p>
    <w:p>
      <w:pPr>
        <w:pStyle w:val="ListParagraph"/>
        <w:numPr>
          <w:ilvl w:val="0"/>
          <w:numId w:val="1"/>
        </w:numPr>
        <w:spacing w:lineRule="exact" w:line="320" w:before="80" w:after="80"/>
        <w:rPr/>
      </w:pPr>
      <w:r>
        <w:rPr>
          <w:rFonts w:eastAsia="Arial" w:cs="Arial"/>
          <w:sz w:val="22"/>
          <w:szCs w:val="22"/>
        </w:rPr>
        <w:t>Use of shapiro.test() to formally test for normality of the distribution</w:t>
      </w:r>
    </w:p>
    <w:p>
      <w:pPr>
        <w:pStyle w:val="Normal"/>
        <w:rPr/>
      </w:pPr>
      <w:r>
        <w:rPr/>
      </w:r>
    </w:p>
    <w:p>
      <w:pPr>
        <w:pStyle w:val="Heading2"/>
        <w:spacing w:before="280" w:after="140"/>
        <w:rPr/>
      </w:pPr>
      <w:r>
        <w:rPr>
          <w:rFonts w:eastAsia="Arial" w:cs="Arial" w:ascii="Arial" w:hAnsi="Arial"/>
          <w:b/>
          <w:bCs/>
          <w:color w:val="2E74B5"/>
          <w:sz w:val="26"/>
          <w:szCs w:val="26"/>
        </w:rPr>
        <w:t>7.4  Tableau / Power BI</w:t>
      </w:r>
    </w:p>
    <w:p>
      <w:pPr>
        <w:pStyle w:val="ListParagraph"/>
        <w:numPr>
          <w:ilvl w:val="0"/>
          <w:numId w:val="1"/>
        </w:numPr>
        <w:spacing w:lineRule="exact" w:line="320" w:before="80" w:after="80"/>
        <w:rPr/>
      </w:pPr>
      <w:r>
        <w:rPr>
          <w:rFonts w:eastAsia="Arial" w:cs="Arial"/>
          <w:sz w:val="22"/>
          <w:szCs w:val="22"/>
        </w:rPr>
        <w:t>Interactive salary dashboards for union presentations and regulatory filings</w:t>
      </w:r>
    </w:p>
    <w:p>
      <w:pPr>
        <w:pStyle w:val="ListParagraph"/>
        <w:numPr>
          <w:ilvl w:val="0"/>
          <w:numId w:val="1"/>
        </w:numPr>
        <w:spacing w:lineRule="exact" w:line="320" w:before="80" w:after="80"/>
        <w:rPr/>
      </w:pPr>
      <w:r>
        <w:rPr>
          <w:rFonts w:eastAsia="Arial" w:cs="Arial"/>
          <w:sz w:val="22"/>
          <w:szCs w:val="22"/>
        </w:rPr>
        <w:t>Filter and drill-down features to separate executive vs. worker pay</w:t>
      </w:r>
    </w:p>
    <w:p>
      <w:pPr>
        <w:pStyle w:val="ListParagraph"/>
        <w:numPr>
          <w:ilvl w:val="0"/>
          <w:numId w:val="1"/>
        </w:numPr>
        <w:spacing w:lineRule="exact" w:line="320" w:before="80" w:after="80"/>
        <w:rPr/>
      </w:pPr>
      <w:r>
        <w:rPr>
          <w:rFonts w:eastAsia="Arial" w:cs="Arial"/>
          <w:sz w:val="22"/>
          <w:szCs w:val="22"/>
        </w:rPr>
        <w:t>Visual storytelling to make statistical disparities accessible to non-technical audiences</w:t>
      </w:r>
    </w:p>
    <w:p>
      <w:pPr>
        <w:pStyle w:val="Normal"/>
        <w:rPr/>
      </w:pPr>
      <w:r>
        <w:rPr/>
      </w:r>
    </w:p>
    <w:p>
      <w:pPr>
        <w:pStyle w:val="Heading1"/>
        <w:spacing w:before="360" w:after="180"/>
        <w:rPr/>
      </w:pPr>
      <w:r>
        <w:rPr>
          <w:rFonts w:eastAsia="Arial" w:cs="Arial" w:ascii="Arial" w:hAnsi="Arial"/>
          <w:b/>
          <w:bCs/>
          <w:color w:val="1F4E79"/>
          <w:sz w:val="32"/>
          <w:szCs w:val="32"/>
        </w:rPr>
        <w:t>8. Union's Strategic Argument</w:t>
      </w:r>
    </w:p>
    <w:p>
      <w:pPr>
        <w:pStyle w:val="Normal"/>
        <w:spacing w:lineRule="exact" w:line="360" w:before="100" w:after="100"/>
        <w:jc w:val="both"/>
        <w:rPr/>
      </w:pPr>
      <w:r>
        <w:rPr>
          <w:rFonts w:eastAsia="Arial" w:cs="Arial"/>
          <w:sz w:val="22"/>
          <w:szCs w:val="22"/>
        </w:rPr>
        <w:t>Armed with the statistical analysis above, the workers' union should construct their negotiation strategy around the following data-driven arguments:</w:t>
      </w:r>
    </w:p>
    <w:p>
      <w:pPr>
        <w:pStyle w:val="Normal"/>
        <w:rPr/>
      </w:pPr>
      <w:r>
        <w:rPr/>
      </w:r>
    </w:p>
    <w:p>
      <w:pPr>
        <w:pStyle w:val="Heading2"/>
        <w:spacing w:before="280" w:after="140"/>
        <w:rPr/>
      </w:pPr>
      <w:r>
        <w:rPr>
          <w:rFonts w:eastAsia="Arial" w:cs="Arial" w:ascii="Arial" w:hAnsi="Arial"/>
          <w:b/>
          <w:bCs/>
          <w:color w:val="2E74B5"/>
          <w:sz w:val="26"/>
          <w:szCs w:val="26"/>
        </w:rPr>
        <w:t>8.1  Challenge the Mean</w:t>
      </w:r>
    </w:p>
    <w:p>
      <w:pPr>
        <w:pStyle w:val="Normal"/>
        <w:spacing w:lineRule="exact" w:line="360" w:before="100" w:after="100"/>
        <w:jc w:val="both"/>
        <w:rPr/>
      </w:pPr>
      <w:r>
        <w:rPr>
          <w:rFonts w:eastAsia="Arial" w:cs="Arial"/>
          <w:sz w:val="22"/>
          <w:szCs w:val="22"/>
        </w:rPr>
        <w:t>The union must formally challenge the use of the mean as a representative salary figure. They should present evidence that:</w:t>
      </w:r>
    </w:p>
    <w:p>
      <w:pPr>
        <w:pStyle w:val="Normal"/>
        <w:rPr/>
      </w:pPr>
      <w:r>
        <w:rPr/>
      </w:r>
    </w:p>
    <w:p>
      <w:pPr>
        <w:pStyle w:val="ListParagraph"/>
        <w:numPr>
          <w:ilvl w:val="0"/>
          <w:numId w:val="1"/>
        </w:numPr>
        <w:spacing w:lineRule="exact" w:line="320" w:before="80" w:after="80"/>
        <w:rPr/>
      </w:pPr>
      <w:r>
        <w:rPr>
          <w:rFonts w:eastAsia="Arial" w:cs="Arial"/>
          <w:sz w:val="22"/>
          <w:szCs w:val="22"/>
        </w:rPr>
        <w:t>Only 2 out of 10 employees (20%) earn at or above the mean of $27,000</w:t>
      </w:r>
    </w:p>
    <w:p>
      <w:pPr>
        <w:pStyle w:val="ListParagraph"/>
        <w:numPr>
          <w:ilvl w:val="0"/>
          <w:numId w:val="1"/>
        </w:numPr>
        <w:spacing w:lineRule="exact" w:line="320" w:before="80" w:after="80"/>
        <w:rPr/>
      </w:pPr>
      <w:r>
        <w:rPr>
          <w:rFonts w:eastAsia="Arial" w:cs="Arial"/>
          <w:sz w:val="22"/>
          <w:szCs w:val="22"/>
        </w:rPr>
        <w:t>The remaining 80% of employees earn below the company's advertised average</w:t>
      </w:r>
    </w:p>
    <w:p>
      <w:pPr>
        <w:pStyle w:val="ListParagraph"/>
        <w:numPr>
          <w:ilvl w:val="0"/>
          <w:numId w:val="1"/>
        </w:numPr>
        <w:spacing w:lineRule="exact" w:line="320" w:before="80" w:after="80"/>
        <w:rPr/>
      </w:pPr>
      <w:r>
        <w:rPr>
          <w:rFonts w:eastAsia="Arial" w:cs="Arial"/>
          <w:sz w:val="22"/>
          <w:szCs w:val="22"/>
        </w:rPr>
        <w:t>The mean is inflated by executive outliers and does not reflect the lived experience of the workforce</w:t>
      </w:r>
    </w:p>
    <w:p>
      <w:pPr>
        <w:pStyle w:val="Normal"/>
        <w:rPr/>
      </w:pPr>
      <w:r>
        <w:rPr/>
      </w:r>
    </w:p>
    <w:p>
      <w:pPr>
        <w:pStyle w:val="Heading2"/>
        <w:spacing w:before="280" w:after="140"/>
        <w:rPr/>
      </w:pPr>
      <w:r>
        <w:rPr>
          <w:rFonts w:eastAsia="Arial" w:cs="Arial" w:ascii="Arial" w:hAnsi="Arial"/>
          <w:b/>
          <w:bCs/>
          <w:color w:val="2E74B5"/>
          <w:sz w:val="26"/>
          <w:szCs w:val="26"/>
        </w:rPr>
        <w:t>8.2  Advocate for Median-Based Reporting</w:t>
      </w:r>
    </w:p>
    <w:p>
      <w:pPr>
        <w:pStyle w:val="Normal"/>
        <w:spacing w:lineRule="exact" w:line="360" w:before="100" w:after="100"/>
        <w:jc w:val="both"/>
        <w:rPr/>
      </w:pPr>
      <w:r>
        <w:rPr>
          <w:rFonts w:eastAsia="Arial" w:cs="Arial"/>
          <w:sz w:val="22"/>
          <w:szCs w:val="22"/>
        </w:rPr>
        <w:t>The union should demand that the company adopt median salary as its standard metric for public disclosures, arguing that:</w:t>
      </w:r>
    </w:p>
    <w:p>
      <w:pPr>
        <w:pStyle w:val="Normal"/>
        <w:rPr/>
      </w:pPr>
      <w:r>
        <w:rPr/>
      </w:r>
    </w:p>
    <w:p>
      <w:pPr>
        <w:pStyle w:val="ListParagraph"/>
        <w:numPr>
          <w:ilvl w:val="0"/>
          <w:numId w:val="1"/>
        </w:numPr>
        <w:spacing w:lineRule="exact" w:line="320" w:before="80" w:after="80"/>
        <w:rPr/>
      </w:pPr>
      <w:r>
        <w:rPr>
          <w:rFonts w:eastAsia="Arial" w:cs="Arial"/>
          <w:sz w:val="22"/>
          <w:szCs w:val="22"/>
        </w:rPr>
        <w:t>The median ($13,000) is a far more accurate representation of what a 'typical' employee earns</w:t>
      </w:r>
    </w:p>
    <w:p>
      <w:pPr>
        <w:pStyle w:val="ListParagraph"/>
        <w:numPr>
          <w:ilvl w:val="0"/>
          <w:numId w:val="1"/>
        </w:numPr>
        <w:spacing w:lineRule="exact" w:line="320" w:before="80" w:after="80"/>
        <w:rPr/>
      </w:pPr>
      <w:r>
        <w:rPr>
          <w:rFonts w:eastAsia="Arial" w:cs="Arial"/>
          <w:sz w:val="22"/>
          <w:szCs w:val="22"/>
        </w:rPr>
        <w:t>International labour standards and many regulatory bodies prefer median wages for equity analysis</w:t>
      </w:r>
    </w:p>
    <w:p>
      <w:pPr>
        <w:pStyle w:val="ListParagraph"/>
        <w:numPr>
          <w:ilvl w:val="0"/>
          <w:numId w:val="1"/>
        </w:numPr>
        <w:spacing w:lineRule="exact" w:line="320" w:before="80" w:after="80"/>
        <w:rPr/>
      </w:pPr>
      <w:r>
        <w:rPr>
          <w:rFonts w:eastAsia="Arial" w:cs="Arial"/>
          <w:sz w:val="22"/>
          <w:szCs w:val="22"/>
        </w:rPr>
        <w:t>Median-based reporting is more resilient to manipulation through executive compensation</w:t>
      </w:r>
    </w:p>
    <w:p>
      <w:pPr>
        <w:pStyle w:val="Normal"/>
        <w:rPr/>
      </w:pPr>
      <w:r>
        <w:rPr/>
      </w:r>
    </w:p>
    <w:p>
      <w:pPr>
        <w:pStyle w:val="Heading2"/>
        <w:spacing w:before="280" w:after="140"/>
        <w:rPr/>
      </w:pPr>
      <w:r>
        <w:rPr>
          <w:rFonts w:eastAsia="Arial" w:cs="Arial" w:ascii="Arial" w:hAnsi="Arial"/>
          <w:b/>
          <w:bCs/>
          <w:color w:val="2E74B5"/>
          <w:sz w:val="26"/>
          <w:szCs w:val="26"/>
        </w:rPr>
        <w:t>8.3  Highlight the Mode for Solidarity</w:t>
      </w:r>
    </w:p>
    <w:p>
      <w:pPr>
        <w:pStyle w:val="Normal"/>
        <w:spacing w:lineRule="exact" w:line="360" w:before="100" w:after="100"/>
        <w:jc w:val="both"/>
        <w:rPr/>
      </w:pPr>
      <w:r>
        <w:rPr>
          <w:rFonts w:eastAsia="Arial" w:cs="Arial"/>
          <w:sz w:val="22"/>
          <w:szCs w:val="22"/>
        </w:rPr>
        <w:t>The mode ($12,000) is the most powerful tool for building worker solidarity and public sympathy:</w:t>
      </w:r>
    </w:p>
    <w:p>
      <w:pPr>
        <w:pStyle w:val="Normal"/>
        <w:rPr/>
      </w:pPr>
      <w:r>
        <w:rPr/>
      </w:r>
    </w:p>
    <w:p>
      <w:pPr>
        <w:pStyle w:val="ListParagraph"/>
        <w:numPr>
          <w:ilvl w:val="0"/>
          <w:numId w:val="1"/>
        </w:numPr>
        <w:spacing w:lineRule="exact" w:line="320" w:before="80" w:after="80"/>
        <w:rPr/>
      </w:pPr>
      <w:r>
        <w:rPr>
          <w:rFonts w:eastAsia="Arial" w:cs="Arial"/>
          <w:sz w:val="22"/>
          <w:szCs w:val="22"/>
        </w:rPr>
        <w:t>50% of all employees earn exactly $12,000 — the bare minimum in this organisation</w:t>
      </w:r>
    </w:p>
    <w:p>
      <w:pPr>
        <w:pStyle w:val="ListParagraph"/>
        <w:numPr>
          <w:ilvl w:val="0"/>
          <w:numId w:val="1"/>
        </w:numPr>
        <w:spacing w:lineRule="exact" w:line="320" w:before="80" w:after="80"/>
        <w:rPr/>
      </w:pPr>
      <w:r>
        <w:rPr>
          <w:rFonts w:eastAsia="Arial" w:cs="Arial"/>
          <w:sz w:val="22"/>
          <w:szCs w:val="22"/>
        </w:rPr>
        <w:t>This figure starkly contrasts the executive's $95,000 salary (nearly 8x the mode)</w:t>
      </w:r>
    </w:p>
    <w:p>
      <w:pPr>
        <w:pStyle w:val="ListParagraph"/>
        <w:numPr>
          <w:ilvl w:val="0"/>
          <w:numId w:val="1"/>
        </w:numPr>
        <w:spacing w:lineRule="exact" w:line="320" w:before="80" w:after="80"/>
        <w:rPr/>
      </w:pPr>
      <w:r>
        <w:rPr>
          <w:rFonts w:eastAsia="Arial" w:cs="Arial"/>
          <w:sz w:val="22"/>
          <w:szCs w:val="22"/>
        </w:rPr>
        <w:t>The mode resonates emotionally and practically with the majority of workers</w:t>
      </w:r>
    </w:p>
    <w:p>
      <w:pPr>
        <w:pStyle w:val="Normal"/>
        <w:rPr/>
      </w:pPr>
      <w:r>
        <w:rPr/>
      </w:r>
    </w:p>
    <w:p>
      <w:pPr>
        <w:pStyle w:val="Heading2"/>
        <w:spacing w:before="280" w:after="140"/>
        <w:rPr/>
      </w:pPr>
      <w:r>
        <w:rPr>
          <w:rFonts w:eastAsia="Arial" w:cs="Arial" w:ascii="Arial" w:hAnsi="Arial"/>
          <w:b/>
          <w:bCs/>
          <w:color w:val="2E74B5"/>
          <w:sz w:val="26"/>
          <w:szCs w:val="26"/>
        </w:rPr>
        <w:t>8.4  Demand Full Wage Transparency</w:t>
      </w:r>
    </w:p>
    <w:p>
      <w:pPr>
        <w:pStyle w:val="Normal"/>
        <w:spacing w:lineRule="exact" w:line="360" w:before="100" w:after="100"/>
        <w:jc w:val="both"/>
        <w:rPr/>
      </w:pPr>
      <w:r>
        <w:rPr>
          <w:rFonts w:eastAsia="Arial" w:cs="Arial"/>
          <w:sz w:val="22"/>
          <w:szCs w:val="22"/>
        </w:rPr>
        <w:t>Based on data analytics best practices, the union should advocate for the public disclosure of:</w:t>
      </w:r>
    </w:p>
    <w:p>
      <w:pPr>
        <w:pStyle w:val="Normal"/>
        <w:rPr/>
      </w:pPr>
      <w:r>
        <w:rPr/>
      </w:r>
    </w:p>
    <w:p>
      <w:pPr>
        <w:pStyle w:val="ListParagraph"/>
        <w:numPr>
          <w:ilvl w:val="0"/>
          <w:numId w:val="1"/>
        </w:numPr>
        <w:spacing w:lineRule="exact" w:line="320" w:before="80" w:after="80"/>
        <w:rPr/>
      </w:pPr>
      <w:r>
        <w:rPr>
          <w:rFonts w:eastAsia="Arial" w:cs="Arial"/>
          <w:sz w:val="22"/>
          <w:szCs w:val="22"/>
        </w:rPr>
        <w:t>Full salary distribution (all individual salaries, anonymised)</w:t>
      </w:r>
    </w:p>
    <w:p>
      <w:pPr>
        <w:pStyle w:val="ListParagraph"/>
        <w:numPr>
          <w:ilvl w:val="0"/>
          <w:numId w:val="1"/>
        </w:numPr>
        <w:spacing w:lineRule="exact" w:line="320" w:before="80" w:after="80"/>
        <w:rPr/>
      </w:pPr>
      <w:r>
        <w:rPr>
          <w:rFonts w:eastAsia="Arial" w:cs="Arial"/>
          <w:sz w:val="22"/>
          <w:szCs w:val="22"/>
        </w:rPr>
        <w:t>Salary range (minimum to maximum)</w:t>
      </w:r>
    </w:p>
    <w:p>
      <w:pPr>
        <w:pStyle w:val="ListParagraph"/>
        <w:numPr>
          <w:ilvl w:val="0"/>
          <w:numId w:val="1"/>
        </w:numPr>
        <w:spacing w:lineRule="exact" w:line="320" w:before="80" w:after="80"/>
        <w:rPr/>
      </w:pPr>
      <w:r>
        <w:rPr>
          <w:rFonts w:eastAsia="Arial" w:cs="Arial"/>
          <w:sz w:val="22"/>
          <w:szCs w:val="22"/>
        </w:rPr>
        <w:t>Standard deviation and interquartile range</w:t>
      </w:r>
    </w:p>
    <w:p>
      <w:pPr>
        <w:pStyle w:val="ListParagraph"/>
        <w:numPr>
          <w:ilvl w:val="0"/>
          <w:numId w:val="1"/>
        </w:numPr>
        <w:spacing w:lineRule="exact" w:line="320" w:before="80" w:after="80"/>
        <w:rPr/>
      </w:pPr>
      <w:r>
        <w:rPr>
          <w:rFonts w:eastAsia="Arial" w:cs="Arial"/>
          <w:sz w:val="22"/>
          <w:szCs w:val="22"/>
        </w:rPr>
        <w:t>Pay ratio between highest and median earner (CEO pay ratio)</w:t>
      </w:r>
    </w:p>
    <w:p>
      <w:pPr>
        <w:pStyle w:val="Normal"/>
        <w:rPr/>
      </w:pPr>
      <w:r>
        <w:rPr/>
      </w:r>
    </w:p>
    <w:p>
      <w:pPr>
        <w:pStyle w:val="Heading1"/>
        <w:spacing w:before="360" w:after="180"/>
        <w:rPr/>
      </w:pPr>
      <w:r>
        <w:rPr>
          <w:rFonts w:eastAsia="Arial" w:cs="Arial" w:ascii="Arial" w:hAnsi="Arial"/>
          <w:b/>
          <w:bCs/>
          <w:color w:val="1F4E79"/>
          <w:sz w:val="32"/>
          <w:szCs w:val="32"/>
        </w:rPr>
        <w:t>9. Recommendations</w:t>
      </w:r>
    </w:p>
    <w:p>
      <w:pPr>
        <w:pStyle w:val="Normal"/>
        <w:spacing w:lineRule="exact" w:line="360" w:before="100" w:after="100"/>
        <w:jc w:val="both"/>
        <w:rPr/>
      </w:pPr>
      <w:r>
        <w:rPr>
          <w:rFonts w:eastAsia="Arial" w:cs="Arial"/>
          <w:sz w:val="22"/>
          <w:szCs w:val="22"/>
        </w:rPr>
        <w:t>Based on the comprehensive statistical analysis conducted in this case study, the following recommendations are made for each stakeholder group:</w:t>
      </w:r>
    </w:p>
    <w:p>
      <w:pPr>
        <w:pStyle w:val="Normal"/>
        <w:rPr/>
      </w:pPr>
      <w:r>
        <w:rPr/>
      </w:r>
    </w:p>
    <w:tbl>
      <w:tblPr>
        <w:tblW w:w="9360" w:type="dxa"/>
        <w:jc w:val="left"/>
        <w:tblInd w:w="0" w:type="dxa"/>
        <w:tblLayout w:type="fixed"/>
        <w:tblCellMar>
          <w:top w:w="120" w:type="dxa"/>
          <w:left w:w="160" w:type="dxa"/>
          <w:bottom w:w="120" w:type="dxa"/>
          <w:right w:w="160" w:type="dxa"/>
        </w:tblCellMar>
      </w:tblPr>
      <w:tblGrid>
        <w:gridCol w:w="3119"/>
        <w:gridCol w:w="6240"/>
      </w:tblGrid>
      <w:tr>
        <w:trPr>
          <w:tblHeader w:val="true"/>
        </w:trPr>
        <w:tc>
          <w:tcPr>
            <w:tcW w:w="3119" w:type="dxa"/>
            <w:tcBorders>
              <w:top w:val="single" w:sz="4" w:space="0" w:color="1F4E79"/>
              <w:left w:val="single" w:sz="4" w:space="0" w:color="1F4E79"/>
              <w:bottom w:val="single" w:sz="4" w:space="0" w:color="1F4E79"/>
              <w:right w:val="single" w:sz="4" w:space="0" w:color="1F4E79"/>
            </w:tcBorders>
            <w:shd w:fill="1F4E79" w:val="clear"/>
          </w:tcPr>
          <w:p>
            <w:pPr>
              <w:pStyle w:val="Normal"/>
              <w:jc w:val="center"/>
              <w:rPr/>
            </w:pPr>
            <w:r>
              <w:rPr>
                <w:rFonts w:eastAsia="Arial" w:cs="Arial"/>
                <w:b/>
                <w:bCs/>
                <w:color w:val="FFFFFF"/>
                <w:sz w:val="22"/>
                <w:szCs w:val="22"/>
              </w:rPr>
              <w:t>Stakeholder</w:t>
            </w:r>
          </w:p>
        </w:tc>
        <w:tc>
          <w:tcPr>
            <w:tcW w:w="6240" w:type="dxa"/>
            <w:tcBorders>
              <w:top w:val="single" w:sz="4" w:space="0" w:color="1F4E79"/>
              <w:left w:val="single" w:sz="4" w:space="0" w:color="1F4E79"/>
              <w:bottom w:val="single" w:sz="4" w:space="0" w:color="1F4E79"/>
              <w:right w:val="single" w:sz="4" w:space="0" w:color="1F4E79"/>
            </w:tcBorders>
            <w:shd w:fill="1F4E79" w:val="clear"/>
          </w:tcPr>
          <w:p>
            <w:pPr>
              <w:pStyle w:val="Normal"/>
              <w:jc w:val="center"/>
              <w:rPr/>
            </w:pPr>
            <w:r>
              <w:rPr>
                <w:rFonts w:eastAsia="Arial" w:cs="Arial"/>
                <w:b/>
                <w:bCs/>
                <w:color w:val="FFFFFF"/>
                <w:sz w:val="22"/>
                <w:szCs w:val="22"/>
              </w:rPr>
              <w:t>Recommended Statistical Measure</w:t>
            </w:r>
          </w:p>
        </w:tc>
      </w:tr>
      <w:tr>
        <w:trPr/>
        <w:tc>
          <w:tcPr>
            <w:tcW w:w="3119" w:type="dxa"/>
            <w:tcBorders>
              <w:top w:val="single" w:sz="2" w:space="0" w:color="CCCCCC"/>
              <w:left w:val="single" w:sz="2" w:space="0" w:color="CCCCCC"/>
              <w:bottom w:val="single" w:sz="2" w:space="0" w:color="CCCCCC"/>
              <w:right w:val="single" w:sz="2" w:space="0" w:color="CCCCCC"/>
            </w:tcBorders>
            <w:shd w:fill="EBF3FB" w:val="clear"/>
            <w:tcMar>
              <w:top w:w="90" w:type="dxa"/>
              <w:bottom w:w="90" w:type="dxa"/>
            </w:tcMar>
          </w:tcPr>
          <w:p>
            <w:pPr>
              <w:pStyle w:val="Normal"/>
              <w:rPr/>
            </w:pPr>
            <w:r>
              <w:rPr>
                <w:rFonts w:eastAsia="Arial" w:cs="Arial"/>
                <w:b/>
                <w:bCs/>
                <w:sz w:val="20"/>
                <w:szCs w:val="20"/>
              </w:rPr>
              <w:t>Company / Management</w:t>
            </w:r>
          </w:p>
        </w:tc>
        <w:tc>
          <w:tcPr>
            <w:tcW w:w="6240" w:type="dxa"/>
            <w:tcBorders>
              <w:top w:val="single" w:sz="2" w:space="0" w:color="CCCCCC"/>
              <w:left w:val="single" w:sz="2" w:space="0" w:color="CCCCCC"/>
              <w:bottom w:val="single" w:sz="2" w:space="0" w:color="CCCCCC"/>
              <w:right w:val="single" w:sz="2" w:space="0" w:color="CCCCCC"/>
            </w:tcBorders>
            <w:shd w:fill="EBF3FB" w:val="clear"/>
            <w:tcMar>
              <w:top w:w="90" w:type="dxa"/>
              <w:bottom w:w="90" w:type="dxa"/>
            </w:tcMar>
          </w:tcPr>
          <w:p>
            <w:pPr>
              <w:pStyle w:val="Normal"/>
              <w:rPr/>
            </w:pPr>
            <w:r>
              <w:rPr>
                <w:rFonts w:eastAsia="Arial" w:cs="Arial"/>
                <w:b w:val="false"/>
                <w:bCs w:val="false"/>
                <w:sz w:val="20"/>
                <w:szCs w:val="20"/>
              </w:rPr>
              <w:t>Mean — presents higher, more favorable average to attract investors and downplay wage disparity.</w:t>
            </w:r>
          </w:p>
        </w:tc>
      </w:tr>
      <w:tr>
        <w:trPr/>
        <w:tc>
          <w:tcPr>
            <w:tcW w:w="3119" w:type="dxa"/>
            <w:tcBorders>
              <w:top w:val="single" w:sz="2" w:space="0" w:color="CCCCCC"/>
              <w:left w:val="single" w:sz="2" w:space="0" w:color="CCCCCC"/>
              <w:bottom w:val="single" w:sz="2" w:space="0" w:color="CCCCCC"/>
              <w:right w:val="single" w:sz="2" w:space="0" w:color="CCCCCC"/>
            </w:tcBorders>
            <w:shd w:fill="FFFFFF" w:val="clear"/>
            <w:tcMar>
              <w:top w:w="90" w:type="dxa"/>
              <w:bottom w:w="90" w:type="dxa"/>
            </w:tcMar>
          </w:tcPr>
          <w:p>
            <w:pPr>
              <w:pStyle w:val="Normal"/>
              <w:rPr/>
            </w:pPr>
            <w:r>
              <w:rPr>
                <w:rFonts w:eastAsia="Arial" w:cs="Arial"/>
                <w:b/>
                <w:bCs/>
                <w:sz w:val="20"/>
                <w:szCs w:val="20"/>
              </w:rPr>
              <w:t>Union / Employees</w:t>
            </w:r>
          </w:p>
        </w:tc>
        <w:tc>
          <w:tcPr>
            <w:tcW w:w="6240" w:type="dxa"/>
            <w:tcBorders>
              <w:top w:val="single" w:sz="2" w:space="0" w:color="CCCCCC"/>
              <w:left w:val="single" w:sz="2" w:space="0" w:color="CCCCCC"/>
              <w:bottom w:val="single" w:sz="2" w:space="0" w:color="CCCCCC"/>
              <w:right w:val="single" w:sz="2" w:space="0" w:color="CCCCCC"/>
            </w:tcBorders>
            <w:shd w:fill="FFFFFF" w:val="clear"/>
            <w:tcMar>
              <w:top w:w="90" w:type="dxa"/>
              <w:bottom w:w="90" w:type="dxa"/>
            </w:tcMar>
          </w:tcPr>
          <w:p>
            <w:pPr>
              <w:pStyle w:val="Normal"/>
              <w:rPr/>
            </w:pPr>
            <w:r>
              <w:rPr>
                <w:rFonts w:eastAsia="Arial" w:cs="Arial"/>
                <w:b w:val="false"/>
                <w:bCs w:val="false"/>
                <w:sz w:val="20"/>
                <w:szCs w:val="20"/>
              </w:rPr>
              <w:t>Median or Mode — exposes that the majority of workers earn $12,000, far below the reported mean.</w:t>
            </w:r>
          </w:p>
        </w:tc>
      </w:tr>
      <w:tr>
        <w:trPr/>
        <w:tc>
          <w:tcPr>
            <w:tcW w:w="3119" w:type="dxa"/>
            <w:tcBorders>
              <w:top w:val="single" w:sz="2" w:space="0" w:color="CCCCCC"/>
              <w:left w:val="single" w:sz="2" w:space="0" w:color="CCCCCC"/>
              <w:bottom w:val="single" w:sz="2" w:space="0" w:color="CCCCCC"/>
              <w:right w:val="single" w:sz="2" w:space="0" w:color="CCCCCC"/>
            </w:tcBorders>
            <w:shd w:fill="EBF3FB" w:val="clear"/>
            <w:tcMar>
              <w:top w:w="90" w:type="dxa"/>
              <w:bottom w:w="90" w:type="dxa"/>
            </w:tcMar>
          </w:tcPr>
          <w:p>
            <w:pPr>
              <w:pStyle w:val="Normal"/>
              <w:rPr/>
            </w:pPr>
            <w:r>
              <w:rPr>
                <w:rFonts w:eastAsia="Arial" w:cs="Arial"/>
                <w:b/>
                <w:bCs/>
                <w:sz w:val="20"/>
                <w:szCs w:val="20"/>
              </w:rPr>
              <w:t>Government / Regulators</w:t>
            </w:r>
          </w:p>
        </w:tc>
        <w:tc>
          <w:tcPr>
            <w:tcW w:w="6240" w:type="dxa"/>
            <w:tcBorders>
              <w:top w:val="single" w:sz="2" w:space="0" w:color="CCCCCC"/>
              <w:left w:val="single" w:sz="2" w:space="0" w:color="CCCCCC"/>
              <w:bottom w:val="single" w:sz="2" w:space="0" w:color="CCCCCC"/>
              <w:right w:val="single" w:sz="2" w:space="0" w:color="CCCCCC"/>
            </w:tcBorders>
            <w:shd w:fill="EBF3FB" w:val="clear"/>
            <w:tcMar>
              <w:top w:w="90" w:type="dxa"/>
              <w:bottom w:w="90" w:type="dxa"/>
            </w:tcMar>
          </w:tcPr>
          <w:p>
            <w:pPr>
              <w:pStyle w:val="Normal"/>
              <w:rPr/>
            </w:pPr>
            <w:r>
              <w:rPr>
                <w:rFonts w:eastAsia="Arial" w:cs="Arial"/>
                <w:b w:val="false"/>
                <w:bCs w:val="false"/>
                <w:sz w:val="20"/>
                <w:szCs w:val="20"/>
              </w:rPr>
              <w:t>All three — a comprehensive view using mean, median, and mode together to identify wage inequality.</w:t>
            </w:r>
          </w:p>
        </w:tc>
      </w:tr>
      <w:tr>
        <w:trPr/>
        <w:tc>
          <w:tcPr>
            <w:tcW w:w="3119" w:type="dxa"/>
            <w:tcBorders>
              <w:top w:val="single" w:sz="2" w:space="0" w:color="CCCCCC"/>
              <w:left w:val="single" w:sz="2" w:space="0" w:color="CCCCCC"/>
              <w:bottom w:val="single" w:sz="2" w:space="0" w:color="CCCCCC"/>
              <w:right w:val="single" w:sz="2" w:space="0" w:color="CCCCCC"/>
            </w:tcBorders>
            <w:shd w:fill="FFFFFF" w:val="clear"/>
            <w:tcMar>
              <w:top w:w="90" w:type="dxa"/>
              <w:bottom w:w="90" w:type="dxa"/>
            </w:tcMar>
          </w:tcPr>
          <w:p>
            <w:pPr>
              <w:pStyle w:val="Normal"/>
              <w:rPr/>
            </w:pPr>
            <w:r>
              <w:rPr>
                <w:rFonts w:eastAsia="Arial" w:cs="Arial"/>
                <w:b/>
                <w:bCs/>
                <w:sz w:val="20"/>
                <w:szCs w:val="20"/>
              </w:rPr>
              <w:t>Data Analysts</w:t>
            </w:r>
          </w:p>
        </w:tc>
        <w:tc>
          <w:tcPr>
            <w:tcW w:w="6240" w:type="dxa"/>
            <w:tcBorders>
              <w:top w:val="single" w:sz="2" w:space="0" w:color="CCCCCC"/>
              <w:left w:val="single" w:sz="2" w:space="0" w:color="CCCCCC"/>
              <w:bottom w:val="single" w:sz="2" w:space="0" w:color="CCCCCC"/>
              <w:right w:val="single" w:sz="2" w:space="0" w:color="CCCCCC"/>
            </w:tcBorders>
            <w:shd w:fill="FFFFFF" w:val="clear"/>
            <w:tcMar>
              <w:top w:w="90" w:type="dxa"/>
              <w:bottom w:w="90" w:type="dxa"/>
            </w:tcMar>
          </w:tcPr>
          <w:p>
            <w:pPr>
              <w:pStyle w:val="Normal"/>
              <w:rPr/>
            </w:pPr>
            <w:r>
              <w:rPr>
                <w:rFonts w:eastAsia="Arial" w:cs="Arial"/>
                <w:b w:val="false"/>
                <w:bCs w:val="false"/>
                <w:sz w:val="20"/>
                <w:szCs w:val="20"/>
              </w:rPr>
              <w:t>All three — holistic analysis to understand the full distribution shape and detect skewness.</w:t>
            </w:r>
          </w:p>
        </w:tc>
      </w:tr>
    </w:tbl>
    <w:p>
      <w:pPr>
        <w:pStyle w:val="Normal"/>
        <w:rPr/>
      </w:pPr>
      <w:r>
        <w:rPr/>
      </w:r>
    </w:p>
    <w:p>
      <w:pPr>
        <w:pStyle w:val="Heading1"/>
        <w:spacing w:before="360" w:after="180"/>
        <w:rPr/>
      </w:pPr>
      <w:r>
        <w:rPr>
          <w:rFonts w:eastAsia="Arial" w:cs="Arial" w:ascii="Arial" w:hAnsi="Arial"/>
          <w:b/>
          <w:bCs/>
          <w:color w:val="1F4E79"/>
          <w:sz w:val="32"/>
          <w:szCs w:val="32"/>
        </w:rPr>
        <w:t>10. Conclusion</w:t>
      </w:r>
    </w:p>
    <w:p>
      <w:pPr>
        <w:pStyle w:val="Normal"/>
        <w:spacing w:lineRule="exact" w:line="360" w:before="100" w:after="100"/>
        <w:jc w:val="both"/>
        <w:rPr/>
      </w:pPr>
      <w:r>
        <w:rPr>
          <w:rFonts w:eastAsia="Arial" w:cs="Arial"/>
          <w:sz w:val="22"/>
          <w:szCs w:val="22"/>
        </w:rPr>
        <w:t>This case study powerfully demonstrates that numbers, when used selectively, can distort reality rather than illuminate it. The company's use of the mean salary ($27,000) created a false impression of fair compensation, masking the fact that 80% of employees earn below that figure and 50% earn the bare minimum of $12,000.</w:t>
      </w:r>
    </w:p>
    <w:p>
      <w:pPr>
        <w:pStyle w:val="Normal"/>
        <w:rPr/>
      </w:pPr>
      <w:r>
        <w:rPr/>
      </w:r>
    </w:p>
    <w:p>
      <w:pPr>
        <w:pStyle w:val="Normal"/>
        <w:spacing w:lineRule="exact" w:line="360" w:before="100" w:after="100"/>
        <w:jc w:val="both"/>
        <w:rPr/>
      </w:pPr>
      <w:r>
        <w:rPr>
          <w:rFonts w:eastAsia="Arial" w:cs="Arial"/>
          <w:sz w:val="22"/>
          <w:szCs w:val="22"/>
        </w:rPr>
        <w:t>The median ($13,000) and mode ($12,000) emerge as the most honest and representative statistical measures in this scenario. They resist the distorting influence of outliers (executive salaries) and accurately reflect the economic reality faced by the majority of workers. For labour unions, policymakers, and data analysts, this distinction is not merely academic — it has profound implications for wage justice, regulatory compliance, and ethical corporate reporting.</w:t>
      </w:r>
    </w:p>
    <w:p>
      <w:pPr>
        <w:pStyle w:val="Normal"/>
        <w:rPr/>
      </w:pPr>
      <w:r>
        <w:rPr/>
      </w:r>
    </w:p>
    <w:p>
      <w:pPr>
        <w:pStyle w:val="Normal"/>
        <w:spacing w:lineRule="exact" w:line="360" w:before="100" w:after="100"/>
        <w:jc w:val="both"/>
        <w:rPr/>
      </w:pPr>
      <w:r>
        <w:rPr>
          <w:rFonts w:eastAsia="Arial" w:cs="Arial"/>
          <w:sz w:val="22"/>
          <w:szCs w:val="22"/>
        </w:rPr>
        <w:t>In the field of data analytics, choosing the right statistical tool is as important as collecting the right data. This case study serves as a compelling reminder that responsible analytics demands transparency, context, and a commitment to representing the truth of the data — not just its most convenient interpretation.</w:t>
      </w:r>
    </w:p>
    <w:p>
      <w:pPr>
        <w:pStyle w:val="Normal"/>
        <w:rPr/>
      </w:pPr>
      <w:r>
        <w:rPr/>
      </w:r>
    </w:p>
    <w:p>
      <w:pPr>
        <w:pStyle w:val="Normal"/>
        <w:spacing w:lineRule="exact" w:line="360" w:before="100" w:after="100"/>
        <w:jc w:val="both"/>
        <w:rPr/>
      </w:pPr>
      <w:r>
        <w:rPr>
          <w:rFonts w:eastAsia="Arial" w:cs="Arial"/>
          <w:sz w:val="22"/>
          <w:szCs w:val="22"/>
        </w:rPr>
        <w:t>The union, equipped with median and mode statistics and supported by modern data analytics tools, stands on firm statistical and ethical ground in its advocacy for fair wages.</w:t>
      </w:r>
    </w:p>
    <w:p>
      <w:pPr>
        <w:pStyle w:val="Normal"/>
        <w:rPr/>
      </w:pPr>
      <w:r>
        <w:rPr/>
      </w:r>
    </w:p>
    <w:p>
      <w:pPr>
        <w:pStyle w:val="Normal"/>
        <w:rPr/>
      </w:pPr>
      <w:r>
        <w:rPr/>
      </w:r>
    </w:p>
    <w:p>
      <w:pPr>
        <w:pStyle w:val="Normal"/>
        <w:rPr/>
      </w:pPr>
      <w:r>
        <w:rPr/>
      </w:r>
    </w:p>
    <w:p>
      <w:pPr>
        <w:pStyle w:val="Heading1"/>
        <w:spacing w:before="360" w:after="180"/>
        <w:rPr/>
      </w:pPr>
      <w:r>
        <w:rPr>
          <w:rFonts w:eastAsia="Arial" w:cs="Arial" w:ascii="Arial" w:hAnsi="Arial"/>
          <w:b/>
          <w:bCs/>
          <w:color w:val="1F4E79"/>
          <w:sz w:val="32"/>
          <w:szCs w:val="32"/>
        </w:rPr>
        <w:t>11. References</w:t>
      </w:r>
    </w:p>
    <w:p>
      <w:pPr>
        <w:pStyle w:val="ListParagraph"/>
        <w:numPr>
          <w:ilvl w:val="0"/>
          <w:numId w:val="1"/>
        </w:numPr>
        <w:spacing w:lineRule="exact" w:line="320" w:before="80" w:after="80"/>
        <w:rPr/>
      </w:pPr>
      <w:r>
        <w:rPr>
          <w:rFonts w:eastAsia="Arial" w:cs="Arial"/>
          <w:sz w:val="22"/>
          <w:szCs w:val="22"/>
        </w:rPr>
        <w:t>Freedman, D., Pisani, R., &amp; Purves, R. (2007). Statistics (4th ed.). W. W. Norton &amp; Company.</w:t>
      </w:r>
    </w:p>
    <w:p>
      <w:pPr>
        <w:pStyle w:val="ListParagraph"/>
        <w:numPr>
          <w:ilvl w:val="0"/>
          <w:numId w:val="1"/>
        </w:numPr>
        <w:spacing w:lineRule="exact" w:line="320" w:before="80" w:after="80"/>
        <w:rPr/>
      </w:pPr>
      <w:r>
        <w:rPr>
          <w:rFonts w:eastAsia="Arial" w:cs="Arial"/>
          <w:sz w:val="22"/>
          <w:szCs w:val="22"/>
        </w:rPr>
        <w:t>Triola, M. F. (2018). Elementary Statistics (13th ed.). Pearson Education.</w:t>
      </w:r>
    </w:p>
    <w:p>
      <w:pPr>
        <w:pStyle w:val="ListParagraph"/>
        <w:numPr>
          <w:ilvl w:val="0"/>
          <w:numId w:val="1"/>
        </w:numPr>
        <w:spacing w:lineRule="exact" w:line="320" w:before="80" w:after="80"/>
        <w:rPr/>
      </w:pPr>
      <w:r>
        <w:rPr>
          <w:rFonts w:eastAsia="Arial" w:cs="Arial"/>
          <w:sz w:val="22"/>
          <w:szCs w:val="22"/>
        </w:rPr>
        <w:t>McKinney, W. (2022). Python for Data Analysis (3rd ed.). O'Reilly Media.</w:t>
      </w:r>
    </w:p>
    <w:p>
      <w:pPr>
        <w:pStyle w:val="ListParagraph"/>
        <w:numPr>
          <w:ilvl w:val="0"/>
          <w:numId w:val="1"/>
        </w:numPr>
        <w:spacing w:lineRule="exact" w:line="320" w:before="80" w:after="80"/>
        <w:rPr/>
      </w:pPr>
      <w:r>
        <w:rPr>
          <w:rFonts w:eastAsia="Arial" w:cs="Arial"/>
          <w:sz w:val="22"/>
          <w:szCs w:val="22"/>
        </w:rPr>
        <w:t>International Labour Organization (ILO). (2023). Global Wage Report 2022-23. ILO Publications.</w:t>
      </w:r>
    </w:p>
    <w:p>
      <w:pPr>
        <w:pStyle w:val="ListParagraph"/>
        <w:numPr>
          <w:ilvl w:val="0"/>
          <w:numId w:val="1"/>
        </w:numPr>
        <w:spacing w:lineRule="exact" w:line="320" w:before="80" w:after="80"/>
        <w:rPr/>
      </w:pPr>
      <w:r>
        <w:rPr>
          <w:rFonts w:eastAsia="Arial" w:cs="Arial"/>
          <w:sz w:val="22"/>
          <w:szCs w:val="22"/>
        </w:rPr>
        <w:t>Wickham, H., &amp; Grolemund, G. (2017). R for Data Science. O'Reilly Media.</w:t>
      </w:r>
    </w:p>
    <w:p>
      <w:pPr>
        <w:pStyle w:val="Normal"/>
        <w:rPr/>
      </w:pPr>
      <w:r>
        <w:rPr/>
      </w:r>
    </w:p>
    <w:p>
      <w:pPr>
        <w:pStyle w:val="Normal"/>
        <w:spacing w:before="200" w:after="0"/>
        <w:jc w:val="center"/>
        <w:rPr/>
      </w:pPr>
      <w:r>
        <w:rPr>
          <w:rFonts w:eastAsia="Arial" w:cs="Arial"/>
          <w:i/>
          <w:iCs/>
          <w:color w:val="888888"/>
          <w:sz w:val="18"/>
          <w:szCs w:val="18"/>
        </w:rPr>
        <w:t>Prepared by: Nipun Patel  |  Enrollment No.: 2504070500009  |  M.Sc. Data Science, Semester II</w:t>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Liberation Sans">
    <w:altName w:val="Arial"/>
    <w:charset w:val="00"/>
    <w:family w:val="swiss"/>
    <w:pitch w:val="variable"/>
  </w:font>
  <w:font w:name="Courier New">
    <w:charset w:val="00"/>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60" w:after="180"/>
      <w:outlineLvl w:val="0"/>
    </w:pPr>
    <w:rPr>
      <w:rFonts w:ascii="Arial" w:hAnsi="Arial" w:eastAsia="Arial" w:cs="Arial"/>
      <w:b/>
      <w:bCs/>
      <w:color w:val="1F4E79"/>
      <w:sz w:val="32"/>
      <w:szCs w:val="32"/>
    </w:rPr>
  </w:style>
  <w:style w:type="paragraph" w:styleId="Heading2">
    <w:name w:val="Heading 2"/>
    <w:basedOn w:val="Heading"/>
    <w:qFormat/>
    <w:pPr>
      <w:spacing w:before="280" w:after="140"/>
      <w:outlineLvl w:val="1"/>
    </w:pPr>
    <w:rPr>
      <w:rFonts w:ascii="Arial" w:hAnsi="Arial" w:eastAsia="Arial" w:cs="Arial"/>
      <w:b/>
      <w:bCs/>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TotalTime>
  <Application>LibreOffice/7.6.4.1$Windows_X86_64 LibreOffice_project/e19e193f88cd6c0525a17fb7a176ed8e6a3e2aa1</Application>
  <AppVersion>15.0000</AppVersion>
  <Pages>10</Pages>
  <Words>1947</Words>
  <Characters>10967</Characters>
  <CharactersWithSpaces>12714</CharactersWithSpaces>
  <Paragraphs>193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2026-04-28T05:12:34Z</dcterms:created>
  <dc:creator>Un-named</dc:creator>
  <dc:description/>
  <dc:language>en-US</dc:language>
  <cp:lastModifiedBy/>
  <dcterms:modified xsi:type="dcterms:W3CDTF">2026-04-28T14:20:04Z</dcterms:modified>
  <cp:revision>2</cp:revision>
  <dc:subject/>
  <dc:title/>
</cp:coreProperties>
</file>