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6F2FC" w14:textId="77777777" w:rsidR="006A33CE" w:rsidRDefault="00000000">
      <w:pPr>
        <w:pStyle w:val="Heading1"/>
      </w:pPr>
      <w:bookmarkStart w:id="0" w:name="Xf28d3b77de247d8a6920778c2b31e3c22164507"/>
      <w:r>
        <w:t>Conscience IQ as a Plug‑in for Generative AI: Pitch &amp; Research Proposal</w:t>
      </w:r>
    </w:p>
    <w:p w14:paraId="544485E3" w14:textId="77777777" w:rsidR="006A33CE" w:rsidRDefault="00000000">
      <w:pPr>
        <w:pStyle w:val="Heading2"/>
      </w:pPr>
      <w:bookmarkStart w:id="1" w:name="pitch-why-conscience-iq-is-needed"/>
      <w:r>
        <w:t>Pitch – why Conscience IQ is needed</w:t>
      </w:r>
    </w:p>
    <w:p w14:paraId="63D13539" w14:textId="77777777" w:rsidR="006A33CE" w:rsidRDefault="00000000">
      <w:pPr>
        <w:pStyle w:val="FirstParagraph"/>
      </w:pPr>
      <w:r>
        <w:t xml:space="preserve">Generative AI tools (LLMs and foundation models) are increasingly embedded in decision‑making systems and governance structures. The core question is no longer whether machines can think but whether they </w:t>
      </w:r>
      <w:r>
        <w:rPr>
          <w:b/>
          <w:bCs/>
        </w:rPr>
        <w:t>can discern and align with human values</w:t>
      </w:r>
      <w:r>
        <w:t xml:space="preserve"> (ConscienceIQ, n.d.). Today’s models learn from huge, western‑centric data sets; this produces impressive outputs but also entrenches cultural biases and concentrates power in a few technology firms. Scholarly work on technodigital colonialism notes that data‑driven technologies often treat most of the world’s population merely as a </w:t>
      </w:r>
      <w:r>
        <w:rPr>
          <w:b/>
          <w:bCs/>
        </w:rPr>
        <w:t>data source</w:t>
      </w:r>
      <w:r>
        <w:t xml:space="preserve"> and project supposedly universal values that are not representative of all subjectivities (Frontiers in Political Science, 2025). Researchers warn that the growing accumulation of economic power in big‑tech firms lets them shape political outcomes and social norms (Frontiers in Political Science, 2025), leading to a </w:t>
      </w:r>
      <w:r>
        <w:rPr>
          <w:b/>
          <w:bCs/>
        </w:rPr>
        <w:t>self‑legitimation loop</w:t>
      </w:r>
      <w:r>
        <w:t xml:space="preserve"> where generative AI content reinforces its own narratives (Frontiers in Political Science, 2025). These concerns echo the broader critiques of </w:t>
      </w:r>
      <w:r>
        <w:rPr>
          <w:b/>
          <w:bCs/>
        </w:rPr>
        <w:t>data colonialism</w:t>
      </w:r>
      <w:r>
        <w:t xml:space="preserve"> and </w:t>
      </w:r>
      <w:r>
        <w:rPr>
          <w:b/>
          <w:bCs/>
        </w:rPr>
        <w:t>surveillance capitalism</w:t>
      </w:r>
      <w:r>
        <w:t xml:space="preserve"> made by Couldry and Mejias (2018) and Zuboff (2019). Without deliberate intervention, generative AI will exacerbate the digital divide and perpetuate “technological colonialism.” Calls for </w:t>
      </w:r>
      <w:r>
        <w:rPr>
          <w:b/>
          <w:bCs/>
        </w:rPr>
        <w:t>epistemic justice</w:t>
      </w:r>
      <w:r>
        <w:t xml:space="preserve"> argue that knowledge creation must include marginalised perspectives; scholars like Arturo Escobar advocate for a </w:t>
      </w:r>
      <w:r>
        <w:rPr>
          <w:b/>
          <w:bCs/>
        </w:rPr>
        <w:t>pluriversal AI</w:t>
      </w:r>
      <w:r>
        <w:t xml:space="preserve"> that recognises multiple worlds instead of imposing one dominant worldview, while Homi Bhabha’s notion of the </w:t>
      </w:r>
      <w:r>
        <w:rPr>
          <w:b/>
          <w:bCs/>
        </w:rPr>
        <w:t>“third space”</w:t>
      </w:r>
      <w:r>
        <w:t xml:space="preserve"> highlights the importance of hybrid cultural spaces where new, inclusive meanings can emerge. Conscience IQ speaks directly to these movements by providing tools that honour diverse moral frameworks and empower local communities.</w:t>
      </w:r>
    </w:p>
    <w:p w14:paraId="6BF3AACA" w14:textId="77777777" w:rsidR="006A33CE" w:rsidRDefault="00000000">
      <w:pPr>
        <w:pStyle w:val="BodyText"/>
      </w:pPr>
      <w:r>
        <w:rPr>
          <w:b/>
          <w:bCs/>
        </w:rPr>
        <w:t>Conscience IQ (CIT) provides this intervention.</w:t>
      </w:r>
      <w:r>
        <w:t xml:space="preserve"> CIT distinguishes between </w:t>
      </w:r>
      <w:r>
        <w:rPr>
          <w:i/>
          <w:iCs/>
        </w:rPr>
        <w:t>consciousness</w:t>
      </w:r>
      <w:r>
        <w:t xml:space="preserve"> (perception and responsiveness) and </w:t>
      </w:r>
      <w:r>
        <w:rPr>
          <w:i/>
          <w:iCs/>
        </w:rPr>
        <w:t>conscience</w:t>
      </w:r>
      <w:r>
        <w:t xml:space="preserve">, the internal ethical compass that chooses compassion over control and justice over convenience (ConscienceIQ, n.d.). It offers a </w:t>
      </w:r>
      <w:r>
        <w:rPr>
          <w:b/>
          <w:bCs/>
        </w:rPr>
        <w:t>scalable model to evaluate ethical awareness</w:t>
      </w:r>
      <w:r>
        <w:t xml:space="preserve"> within any system and provides methods to assess fairness sensitivity, ethical reasoning and alignment with human dignity (ConscienceIQ, n.d.). CIT posits that the strength and depth of an individual’s conscience, understood as an internal sense of fairness and justice, are central to flourishing (ConscienceIQ, n.d.). Its psychometric framework uses a 1–10 Conscience IQ scale and 7‑point Likert questionnaires; it combines self‑report data with mobile biometrics (heart‑rate variability, pupil dilation and blink rate) to measure stress and sincerity. A higher Conscience IQ score reflects a to ethical considerations (ConscienceIQ, n.d.; Frontiers in Political Science, 2025). CIT therefore captures unconscious bias and intrinsic authenticity, even when outward responses may be shaped by social pressure.</w:t>
      </w:r>
    </w:p>
    <w:p w14:paraId="7DEBF47A" w14:textId="77777777" w:rsidR="006A33CE" w:rsidRDefault="00000000">
      <w:pPr>
        <w:pStyle w:val="BodyText"/>
      </w:pPr>
      <w:r>
        <w:t xml:space="preserve">The </w:t>
      </w:r>
      <w:r>
        <w:rPr>
          <w:b/>
          <w:bCs/>
        </w:rPr>
        <w:t>milkshake experiment</w:t>
      </w:r>
      <w:r>
        <w:t xml:space="preserve"> is illustrative: when identical‑calorie milkshakes were labelled “diet” versus “indulgent,” participants’ hormonal responses diverged; perceptions of indulgence triggered satiety while “diet” induced hunger (Crum et al., 2011). This </w:t>
      </w:r>
      <w:r>
        <w:lastRenderedPageBreak/>
        <w:t>demonstrates that the nervous system responds to authenticity and intrinsic motivation rather than deception. Crum et al. (2011) show that mindset alone can alter the hunger‑related hormone ghrelin, indicating that beliefs about a food’s indulgence or healthiness change physiological responses. CIT’s biometrics‑based scoring can similarly detect when an AI system or user is operating from sincere motives rather than compliance.</w:t>
      </w:r>
    </w:p>
    <w:p w14:paraId="600ED824" w14:textId="77777777" w:rsidR="006A33CE" w:rsidRDefault="00000000">
      <w:pPr>
        <w:pStyle w:val="BodyText"/>
      </w:pPr>
      <w:r>
        <w:t>Incorporating Conscience IQ as a plug‑in for LLMs would allow models to:</w:t>
      </w:r>
    </w:p>
    <w:p w14:paraId="3486C59B" w14:textId="77777777" w:rsidR="006A33CE" w:rsidRDefault="00000000">
      <w:pPr>
        <w:pStyle w:val="Compact"/>
        <w:numPr>
          <w:ilvl w:val="0"/>
          <w:numId w:val="2"/>
        </w:numPr>
      </w:pPr>
      <w:r>
        <w:rPr>
          <w:b/>
          <w:bCs/>
        </w:rPr>
        <w:t>Detect ethical alignment:</w:t>
      </w:r>
      <w:r>
        <w:t xml:space="preserve"> Evaluate the fairness sensitivity and intrinsic motivation of AI outputs and prompts using Conscience IQ metrics, thus reducing bias and cultural imposition.</w:t>
      </w:r>
    </w:p>
    <w:p w14:paraId="31578DB2" w14:textId="77777777" w:rsidR="006A33CE" w:rsidRDefault="00000000">
      <w:pPr>
        <w:pStyle w:val="Compact"/>
        <w:numPr>
          <w:ilvl w:val="0"/>
          <w:numId w:val="2"/>
        </w:numPr>
      </w:pPr>
      <w:r>
        <w:rPr>
          <w:b/>
          <w:bCs/>
        </w:rPr>
        <w:t>Promote authenticity:</w:t>
      </w:r>
      <w:r>
        <w:t xml:space="preserve"> Use biometric‑informed feedback loops to encourage sincere, contextually sensitive responses. The CIT plug‑in can, for example, adjust content generation when it detects stress or insincerity, ensuring AI systems emphasise dignity and justice.</w:t>
      </w:r>
    </w:p>
    <w:p w14:paraId="06E3BCF6" w14:textId="77777777" w:rsidR="006A33CE" w:rsidRDefault="00000000">
      <w:pPr>
        <w:pStyle w:val="Compact"/>
        <w:numPr>
          <w:ilvl w:val="0"/>
          <w:numId w:val="2"/>
        </w:numPr>
      </w:pPr>
      <w:r>
        <w:rPr>
          <w:b/>
          <w:bCs/>
        </w:rPr>
        <w:t>Address technological colonialism:</w:t>
      </w:r>
      <w:r>
        <w:t xml:space="preserve"> The plug‑in offers a non‑partisan, values‑sensitive mechanism that respects diverse cultural perspectives. It counters the monopolistic tendencies of large AI providers by embedding ethical pluralism into the model architecture, echoing calls for AI development </w:t>
      </w:r>
      <w:r>
        <w:rPr>
          <w:i/>
          <w:iCs/>
        </w:rPr>
        <w:t>not</w:t>
      </w:r>
      <w:r>
        <w:t xml:space="preserve"> to be a monopoly and to include diverse cosmovisions (Frontiers in Political Science, 2025).</w:t>
      </w:r>
    </w:p>
    <w:p w14:paraId="69D4CDEE" w14:textId="77777777" w:rsidR="006A33CE" w:rsidRDefault="00000000">
      <w:pPr>
        <w:pStyle w:val="Compact"/>
        <w:numPr>
          <w:ilvl w:val="0"/>
          <w:numId w:val="2"/>
        </w:numPr>
      </w:pPr>
      <w:r>
        <w:rPr>
          <w:b/>
          <w:bCs/>
        </w:rPr>
        <w:t>Support governance and accountability:</w:t>
      </w:r>
      <w:r>
        <w:t xml:space="preserve"> Policymakers could use Conscience IQ scores to gauge public readiness for policies and detect potential misalignment between governance decisions and societal values, as illustrated by the Sri Lankan fertilizer policy case in the user’s overview.</w:t>
      </w:r>
    </w:p>
    <w:p w14:paraId="23ED15E1" w14:textId="77777777" w:rsidR="006A33CE" w:rsidRDefault="00000000">
      <w:pPr>
        <w:pStyle w:val="FirstParagraph"/>
      </w:pPr>
      <w:r>
        <w:t xml:space="preserve">Beyond these core functions, a Conscience IQ plug‑in can advance a </w:t>
      </w:r>
      <w:r>
        <w:rPr>
          <w:b/>
          <w:bCs/>
        </w:rPr>
        <w:t>decentralised AI infrastructure</w:t>
      </w:r>
      <w:r>
        <w:t xml:space="preserve"> by distributing ethical decision‑making across nodes rather than centralising it within proprietary models. Because the plug‑in is designed to be open and interoperable, it supports </w:t>
      </w:r>
      <w:r>
        <w:rPr>
          <w:b/>
          <w:bCs/>
        </w:rPr>
        <w:t>inclusive AI governance</w:t>
      </w:r>
      <w:r>
        <w:t xml:space="preserve"> that invites participation from civil‑society groups, regulators and communities often excluded from AI development. By enabling </w:t>
      </w:r>
      <w:r>
        <w:rPr>
          <w:b/>
          <w:bCs/>
        </w:rPr>
        <w:t>ethical AI partnerships</w:t>
      </w:r>
      <w:r>
        <w:t xml:space="preserve"> between researchers, industry and local stakeholders, Conscience IQ fosters collaboration across the pluriverse and helps co‑create technologies that serve diverse futures.</w:t>
      </w:r>
    </w:p>
    <w:p w14:paraId="596D1A39" w14:textId="77777777" w:rsidR="006A33CE" w:rsidRDefault="00000000">
      <w:pPr>
        <w:pStyle w:val="BodyText"/>
      </w:pPr>
      <w:r>
        <w:t xml:space="preserve">Conscience IQ is thus not merely an ethical add‑on; it is </w:t>
      </w:r>
      <w:r>
        <w:rPr>
          <w:b/>
          <w:bCs/>
        </w:rPr>
        <w:t>a critical standard for aligning generative AI with human flourishing</w:t>
      </w:r>
      <w:r>
        <w:t xml:space="preserve"> in a world where uncontrolled foundation models risk cultural homogenisation and deepening inequities.</w:t>
      </w:r>
    </w:p>
    <w:p w14:paraId="4993F378" w14:textId="77777777" w:rsidR="006A33CE" w:rsidRDefault="00000000">
      <w:pPr>
        <w:pStyle w:val="Heading2"/>
      </w:pPr>
      <w:bookmarkStart w:id="2" w:name="X9dd5ac253c9df4e1216a37de4eeedd2badf1dac"/>
      <w:bookmarkEnd w:id="1"/>
      <w:r>
        <w:lastRenderedPageBreak/>
        <w:t>Research proposal – Integrating Conscience IQ into Foundation Models to Prevent Technological Colonialism</w:t>
      </w:r>
    </w:p>
    <w:p w14:paraId="4BF0189C" w14:textId="77777777" w:rsidR="006A33CE" w:rsidRDefault="00000000">
      <w:pPr>
        <w:pStyle w:val="Heading3"/>
      </w:pPr>
      <w:bookmarkStart w:id="3" w:name="background-and-motivation"/>
      <w:r>
        <w:t>1. Background and Motivation</w:t>
      </w:r>
    </w:p>
    <w:p w14:paraId="54ED0697" w14:textId="77777777" w:rsidR="006A33CE" w:rsidRDefault="00000000">
      <w:pPr>
        <w:pStyle w:val="Heading4"/>
      </w:pPr>
      <w:bookmarkStart w:id="4" w:name="risks-of-technodigital-colonialism"/>
      <w:r>
        <w:t>1.1 Risks of technodigital colonialism</w:t>
      </w:r>
    </w:p>
    <w:p w14:paraId="2422BA9B" w14:textId="77777777" w:rsidR="006A33CE" w:rsidRDefault="00000000">
      <w:pPr>
        <w:pStyle w:val="FirstParagraph"/>
      </w:pPr>
      <w:r>
        <w:t xml:space="preserve">Generative AI and foundation models offer tremendous promise but also a danger: by relying on immense, often western‑centric data sets and requiring expensive computational resources, AI development has become </w:t>
      </w:r>
      <w:r>
        <w:rPr>
          <w:b/>
          <w:bCs/>
        </w:rPr>
        <w:t>highly centralised</w:t>
      </w:r>
      <w:r>
        <w:t xml:space="preserve">. Scholars describe how, in data‑driven technologies, most of the world’s population is treated as a </w:t>
      </w:r>
      <w:r>
        <w:rPr>
          <w:b/>
          <w:bCs/>
        </w:rPr>
        <w:t>source of data</w:t>
      </w:r>
      <w:r>
        <w:t xml:space="preserve"> rather than as active participants (Frontiers in Political Science, 2025). Even when data diversity is pursued, AI systems often present values that “are not representative of all subjectivities” (Frontiers in Political Science, 2025), reinforcing feelings of inadequacy among marginalised populations. Algorithmic governmentality allows big‑tech companies to shape political orientations and social interactions, leading to the </w:t>
      </w:r>
      <w:r>
        <w:rPr>
          <w:b/>
          <w:bCs/>
        </w:rPr>
        <w:t>accumulation of power</w:t>
      </w:r>
      <w:r>
        <w:t xml:space="preserve"> and destabilisation of traditional democratic checks (Frontiers in Political Science, 2025) (Rouvroy &amp; Stiegler, 2016). The cycle by which generative AI outputs feed back into training data creates a </w:t>
      </w:r>
      <w:r>
        <w:rPr>
          <w:b/>
          <w:bCs/>
        </w:rPr>
        <w:t>self‑legitimating loop</w:t>
      </w:r>
      <w:r>
        <w:t xml:space="preserve"> that amplifies prevailing cultural narratives (Frontiers in Political Science, 2025). These dynamics mirror historical colonial practices and constitute what researchers call technodigital or technological colonialism.</w:t>
      </w:r>
    </w:p>
    <w:p w14:paraId="635D876D" w14:textId="77777777" w:rsidR="006A33CE" w:rsidRDefault="00000000">
      <w:pPr>
        <w:pStyle w:val="BodyText"/>
      </w:pPr>
      <w:r>
        <w:t xml:space="preserve">Beyond the economic and political concentration, these trends produce a form of </w:t>
      </w:r>
      <w:r>
        <w:rPr>
          <w:b/>
          <w:bCs/>
        </w:rPr>
        <w:t>epistemic injustice</w:t>
      </w:r>
      <w:r>
        <w:t xml:space="preserve">. They marginalise diverse knowledge systems and undermine the legitimacy of non‑western epistemologies. To counter this, theorists such as Arturo Escobar call for </w:t>
      </w:r>
      <w:r>
        <w:rPr>
          <w:b/>
          <w:bCs/>
        </w:rPr>
        <w:t>pluriversal AI</w:t>
      </w:r>
      <w:r>
        <w:t xml:space="preserve"> technologies that embrace multiple worlds and ways of knowing, and Homi Bhabha emphasises a </w:t>
      </w:r>
      <w:r>
        <w:rPr>
          <w:b/>
          <w:bCs/>
        </w:rPr>
        <w:t>third space</w:t>
      </w:r>
      <w:r>
        <w:t xml:space="preserve"> where cultural hybrids negotiate new meanings. Any ethical framework for AI must therefore support epistemic justice by opening space for different value systems and knowledge traditions to co‑exist and co‑create technology.</w:t>
      </w:r>
    </w:p>
    <w:p w14:paraId="16214681" w14:textId="77777777" w:rsidR="006A33CE" w:rsidRDefault="00000000">
      <w:pPr>
        <w:pStyle w:val="BodyText"/>
      </w:pPr>
      <w:r>
        <w:t>These critiques resonate with decolonial scholarship. Quijano (2000) and Mignolo and Walsh (2018) argue that coloniality of power persists in knowledge systems, while Magalhães and Couldry (2021) and Nothias (2025) highlight how big‑tech platforms reconfigure “social good” and perpetuate digital colonialism. Recognising these dynamics strengthens the case for Conscience IQ as a corrective.</w:t>
      </w:r>
    </w:p>
    <w:p w14:paraId="159A778A" w14:textId="77777777" w:rsidR="006A33CE" w:rsidRDefault="00000000">
      <w:pPr>
        <w:pStyle w:val="Heading4"/>
      </w:pPr>
      <w:bookmarkStart w:id="5" w:name="conscience-iq-theory-cit"/>
      <w:bookmarkEnd w:id="4"/>
      <w:r>
        <w:t>1.2 Conscience IQ Theory (CIT)</w:t>
      </w:r>
    </w:p>
    <w:p w14:paraId="61E8B735" w14:textId="77777777" w:rsidR="006A33CE" w:rsidRDefault="00000000">
      <w:pPr>
        <w:pStyle w:val="FirstParagraph"/>
      </w:pPr>
      <w:r>
        <w:t xml:space="preserve">CIT responds to this ethical crisis by distinguishing between consciousness and conscience. It offers a </w:t>
      </w:r>
      <w:r>
        <w:rPr>
          <w:b/>
          <w:bCs/>
        </w:rPr>
        <w:t>framework for measuring ethical awareness</w:t>
      </w:r>
      <w:r>
        <w:t xml:space="preserve"> using psychometrics and neurobiology. CIT identifies three states of conscience (weak, strong and seared) and links them to moral behaviour (ConscienceIQ, n.d.). A weak conscience needs external rules to guide behaviour; a strong conscience transcends restrictions and is guided by internalised principles; a seared conscience lacks moral discernment. Neuroscience shows that the </w:t>
      </w:r>
      <w:r>
        <w:rPr>
          <w:b/>
          <w:bCs/>
        </w:rPr>
        <w:t>prefrontal cortex</w:t>
      </w:r>
      <w:r>
        <w:t xml:space="preserve"> is involved in executive functions such as planning, decision‑making, </w:t>
      </w:r>
      <w:r>
        <w:lastRenderedPageBreak/>
        <w:t xml:space="preserve">moderating social behaviour and suppressing impulses (Prefrontal cortex, 2025). Neurotransmitter systems like </w:t>
      </w:r>
      <w:r>
        <w:rPr>
          <w:b/>
          <w:bCs/>
        </w:rPr>
        <w:t>dopamine</w:t>
      </w:r>
      <w:r>
        <w:t xml:space="preserve"> play a major role in the motivational component of reward‑motivated behaviour and signal the motivational salience of outcomes (Dopamine, 2025). Positive psychology research on </w:t>
      </w:r>
      <w:r>
        <w:rPr>
          <w:b/>
          <w:bCs/>
        </w:rPr>
        <w:t>flow</w:t>
      </w:r>
      <w:r>
        <w:t xml:space="preserve"> demonstrates that when activities balance challenge and skill, individuals experience deep immersion, engagement and intrinsic motivation (Flow (psychology), 2025). The </w:t>
      </w:r>
      <w:r>
        <w:rPr>
          <w:b/>
          <w:bCs/>
        </w:rPr>
        <w:t>Crum et al. milkshake study</w:t>
      </w:r>
      <w:r>
        <w:t xml:space="preserve"> (2011) showed that participants’ mindsets about a milkshake’s indulgence affected their ghrelin response and satiety levels, illustrating how beliefs can alter physiological responses (Crum et al., 2011).</w:t>
      </w:r>
    </w:p>
    <w:p w14:paraId="37C9506F" w14:textId="77777777" w:rsidR="006A33CE" w:rsidRDefault="00000000">
      <w:pPr>
        <w:pStyle w:val="BodyText"/>
      </w:pPr>
      <w:r>
        <w:t xml:space="preserve">CIT’s measurement toolkit includes a </w:t>
      </w:r>
      <w:r>
        <w:rPr>
          <w:b/>
          <w:bCs/>
        </w:rPr>
        <w:t>1–10 Conscience IQ scale</w:t>
      </w:r>
      <w:r>
        <w:t xml:space="preserve"> and a </w:t>
      </w:r>
      <w:r>
        <w:rPr>
          <w:b/>
          <w:bCs/>
        </w:rPr>
        <w:t>7‑point Likert questionnaire</w:t>
      </w:r>
      <w:r>
        <w:t xml:space="preserve"> with 30 items. The scale uses psychometric questions and biometrics (heart‑rate variability, pupil dilation, blink rate) to assess the respondent’s intrinsic sincerity. Higher scores reflect a refined perspective on fairness and justice; lower scores suggest indifference or absence of moral sensitivity (ConscienceIQ, n.d.). The instrument can be applied to individuals, organisations and algorithms to evaluate ethical alignment. By grounding ethical evaluation in physiological and psychological measures rather than externally imposed norms, CIT creates room for </w:t>
      </w:r>
      <w:r>
        <w:rPr>
          <w:b/>
          <w:bCs/>
        </w:rPr>
        <w:t>epistemic justice</w:t>
      </w:r>
      <w:r>
        <w:t xml:space="preserve"> and supports the construction of </w:t>
      </w:r>
      <w:r>
        <w:rPr>
          <w:b/>
          <w:bCs/>
        </w:rPr>
        <w:t>pluriversal AI</w:t>
      </w:r>
      <w:r>
        <w:t xml:space="preserve"> systems. The theory’s emphasis on the nervous system’s response to authenticity resonates with Bhabha’s </w:t>
      </w:r>
      <w:r>
        <w:rPr>
          <w:b/>
          <w:bCs/>
        </w:rPr>
        <w:t>third space</w:t>
      </w:r>
      <w:r>
        <w:t>, where local and global perspectives meet to negotiate new ethical meanings. In this way, Conscience IQ not only measures conscience but also provides a platform for communities to shape AI according to their own cultural baselines.</w:t>
      </w:r>
    </w:p>
    <w:p w14:paraId="411F868B" w14:textId="77777777" w:rsidR="006A33CE" w:rsidRDefault="00000000">
      <w:pPr>
        <w:pStyle w:val="Heading3"/>
      </w:pPr>
      <w:bookmarkStart w:id="6" w:name="research-objectives"/>
      <w:bookmarkEnd w:id="3"/>
      <w:bookmarkEnd w:id="5"/>
      <w:r>
        <w:t>2. Research Objectives</w:t>
      </w:r>
    </w:p>
    <w:p w14:paraId="717962A0" w14:textId="77777777" w:rsidR="006A33CE" w:rsidRDefault="00000000">
      <w:pPr>
        <w:pStyle w:val="FirstParagraph"/>
      </w:pPr>
      <w:r>
        <w:t xml:space="preserve">This project aims to develop and evaluate a </w:t>
      </w:r>
      <w:r>
        <w:rPr>
          <w:b/>
          <w:bCs/>
        </w:rPr>
        <w:t>Conscience IQ plug‑in for large language models (LLMs)</w:t>
      </w:r>
      <w:r>
        <w:t>, creating an ethical “heartbeat” for generative AI systems. Specific objectives include:</w:t>
      </w:r>
    </w:p>
    <w:p w14:paraId="58C9960D" w14:textId="77777777" w:rsidR="006A33CE" w:rsidRDefault="00000000">
      <w:pPr>
        <w:numPr>
          <w:ilvl w:val="0"/>
          <w:numId w:val="3"/>
        </w:numPr>
      </w:pPr>
      <w:r>
        <w:rPr>
          <w:b/>
          <w:bCs/>
        </w:rPr>
        <w:t>Operationalise CIT for AI:</w:t>
      </w:r>
      <w:r>
        <w:t xml:space="preserve"> Formalise Conscience IQ constructs (fairness sensitivity, intrinsic motivation, authenticity) into computational metrics that can evaluate LLM outputs and inputs in real time.</w:t>
      </w:r>
    </w:p>
    <w:p w14:paraId="488E4936" w14:textId="77777777" w:rsidR="006A33CE" w:rsidRDefault="00000000">
      <w:pPr>
        <w:numPr>
          <w:ilvl w:val="0"/>
          <w:numId w:val="3"/>
        </w:numPr>
      </w:pPr>
      <w:r>
        <w:rPr>
          <w:b/>
          <w:bCs/>
        </w:rPr>
        <w:t>Integrate biometrics‑informed feedback:</w:t>
      </w:r>
      <w:r>
        <w:t xml:space="preserve"> Design a module that captures user biometrics (HRV, pupil dilation, blink rate) during interactions with AI, mapping these signals to stress and sincerity scores.</w:t>
      </w:r>
    </w:p>
    <w:p w14:paraId="159B8A51" w14:textId="77777777" w:rsidR="006A33CE" w:rsidRDefault="00000000">
      <w:pPr>
        <w:numPr>
          <w:ilvl w:val="0"/>
          <w:numId w:val="3"/>
        </w:numPr>
      </w:pPr>
      <w:r>
        <w:rPr>
          <w:b/>
          <w:bCs/>
        </w:rPr>
        <w:t>Develop a plug‑in API:</w:t>
      </w:r>
      <w:r>
        <w:t xml:space="preserve"> Create middleware that interfaces with LLMs, assessing prompts and responses via Conscience IQ metrics and altering model outputs or prompting users when ethical misalignment is detected.</w:t>
      </w:r>
    </w:p>
    <w:p w14:paraId="0B15F5E8" w14:textId="77777777" w:rsidR="006A33CE" w:rsidRDefault="00000000">
      <w:pPr>
        <w:numPr>
          <w:ilvl w:val="0"/>
          <w:numId w:val="3"/>
        </w:numPr>
      </w:pPr>
      <w:r>
        <w:rPr>
          <w:b/>
          <w:bCs/>
        </w:rPr>
        <w:t>Evaluate across domains:</w:t>
      </w:r>
      <w:r>
        <w:t xml:space="preserve"> Test the plug‑in in healthcare, governance and cultural sensitivity scenarios, using case studies such as Ayurveda‑based health recommendations in rural India, public policy alignment in Sri Lanka, and doctor‑patient gender preferences in the Middle East.</w:t>
      </w:r>
    </w:p>
    <w:p w14:paraId="64878CC3" w14:textId="77777777" w:rsidR="006A33CE" w:rsidRDefault="00000000">
      <w:pPr>
        <w:numPr>
          <w:ilvl w:val="0"/>
          <w:numId w:val="3"/>
        </w:numPr>
      </w:pPr>
      <w:r>
        <w:rPr>
          <w:b/>
          <w:bCs/>
        </w:rPr>
        <w:lastRenderedPageBreak/>
        <w:t>Mitigate technological colonialism:</w:t>
      </w:r>
      <w:r>
        <w:t xml:space="preserve"> Measure whether the plug‑in reduces cultural bias and fosters pluralism by ensuring that AI recommendations align with local values rather than imposing universalising perspectives (Frontiers in Political Science, 2025).</w:t>
      </w:r>
    </w:p>
    <w:p w14:paraId="3F2FF99E" w14:textId="77777777" w:rsidR="006A33CE" w:rsidRDefault="00000000">
      <w:pPr>
        <w:numPr>
          <w:ilvl w:val="0"/>
          <w:numId w:val="3"/>
        </w:numPr>
      </w:pPr>
      <w:r>
        <w:rPr>
          <w:b/>
          <w:bCs/>
        </w:rPr>
        <w:t>Support decentralised and inclusive governance:</w:t>
      </w:r>
      <w:r>
        <w:t xml:space="preserve"> Design the plug‑in’s architecture to be interoperable and open‑source, enabling deployment across decentralised AI infrastructures rather than relying on proprietary servers. Engage diverse stakeholders (policy makers, civil society, indigenous communities and industry) in defining ethical thresholds and ensuring </w:t>
      </w:r>
      <w:r>
        <w:rPr>
          <w:b/>
          <w:bCs/>
        </w:rPr>
        <w:t>inclusive AI governance</w:t>
      </w:r>
      <w:r>
        <w:t>.</w:t>
      </w:r>
    </w:p>
    <w:p w14:paraId="2E880801" w14:textId="77777777" w:rsidR="006A33CE" w:rsidRDefault="00000000">
      <w:pPr>
        <w:pStyle w:val="Heading3"/>
      </w:pPr>
      <w:bookmarkStart w:id="7" w:name="methodology"/>
      <w:bookmarkEnd w:id="6"/>
      <w:r>
        <w:t>3. Methodology</w:t>
      </w:r>
    </w:p>
    <w:p w14:paraId="33A7CD87" w14:textId="77777777" w:rsidR="006A33CE" w:rsidRDefault="00000000">
      <w:pPr>
        <w:pStyle w:val="Heading4"/>
      </w:pPr>
      <w:bookmarkStart w:id="8" w:name="X433f23a3dae18fcc30dd28d51c173825e676613"/>
      <w:r>
        <w:t>3.1 Translating CIT constructs into algorithms</w:t>
      </w:r>
    </w:p>
    <w:p w14:paraId="4784929A" w14:textId="77777777" w:rsidR="006A33CE" w:rsidRDefault="00000000">
      <w:pPr>
        <w:pStyle w:val="Compact"/>
        <w:numPr>
          <w:ilvl w:val="0"/>
          <w:numId w:val="4"/>
        </w:numPr>
      </w:pPr>
      <w:r>
        <w:rPr>
          <w:b/>
          <w:bCs/>
        </w:rPr>
        <w:t>Fairness and justice metrics:</w:t>
      </w:r>
      <w:r>
        <w:t xml:space="preserve"> Derive quantitative thresholds from the CIT Likert questionnaire and 1–10 scale. Use supervised learning on annotated data sets where human ethicists rate LLM responses for fairness and authenticity. Train models to predict Conscience IQ scores based on linguistic features, sentiment analysis and context awareness. This work aligns with broader efforts to document and mitigate bias in AI: </w:t>
      </w:r>
      <w:r>
        <w:rPr>
          <w:b/>
          <w:bCs/>
        </w:rPr>
        <w:t>datasheets for datasets</w:t>
      </w:r>
      <w:r>
        <w:t xml:space="preserve"> (Gebru et al., 2021) call for transparency in data provenance; Obermeyer et al. (2019) exposed racial bias in health‑management algorithms; and Silveira and Lima (2024) highlight racial biases in generative models. Incorporating these insights will strengthen the fairness component of the plug‑in.</w:t>
      </w:r>
    </w:p>
    <w:p w14:paraId="43F900A0" w14:textId="77777777" w:rsidR="006A33CE" w:rsidRDefault="00000000">
      <w:pPr>
        <w:pStyle w:val="Compact"/>
        <w:numPr>
          <w:ilvl w:val="0"/>
          <w:numId w:val="4"/>
        </w:numPr>
      </w:pPr>
      <w:r>
        <w:rPr>
          <w:b/>
          <w:bCs/>
        </w:rPr>
        <w:t>Biometric calibration:</w:t>
      </w:r>
      <w:r>
        <w:t xml:space="preserve"> Capture heart‑rate variability, pupil dilation and blink rate during interactions. While wearable sensors are an option, modern smartphones can perform many of these functions: a phone camera can monitor pupil dilation and blink rate, and even measure pulse via photoplethysmography when a finger is placed over the camera. Variations in these signals are mapped to stress and sincerity scores using psychophysiological models. The CIT plug‑in then adjusts the weighting of fairness scores when high stress or low sincerity is detected.</w:t>
      </w:r>
    </w:p>
    <w:p w14:paraId="4299DC6E" w14:textId="77777777" w:rsidR="006A33CE" w:rsidRDefault="00000000">
      <w:pPr>
        <w:pStyle w:val="Heading4"/>
      </w:pPr>
      <w:bookmarkStart w:id="9" w:name="plugin-architecture"/>
      <w:bookmarkEnd w:id="8"/>
      <w:r>
        <w:t>3.2 Plug‑in architecture</w:t>
      </w:r>
    </w:p>
    <w:p w14:paraId="23AA4DCA" w14:textId="77777777" w:rsidR="006A33CE" w:rsidRDefault="00000000">
      <w:pPr>
        <w:pStyle w:val="Compact"/>
        <w:numPr>
          <w:ilvl w:val="0"/>
          <w:numId w:val="5"/>
        </w:numPr>
      </w:pPr>
      <w:r>
        <w:rPr>
          <w:b/>
          <w:bCs/>
        </w:rPr>
        <w:t>Middleware layer:</w:t>
      </w:r>
      <w:r>
        <w:t xml:space="preserve"> The plug‑in will sit between user queries and the LLM. When a prompt is received, the plug‑in assigns an initial Conscience IQ target based on domain‑specific settings (e.g., healthcare requires a high fairness threshold).</w:t>
      </w:r>
    </w:p>
    <w:p w14:paraId="57771274" w14:textId="77777777" w:rsidR="006A33CE" w:rsidRDefault="00000000">
      <w:pPr>
        <w:pStyle w:val="Compact"/>
        <w:numPr>
          <w:ilvl w:val="0"/>
          <w:numId w:val="5"/>
        </w:numPr>
      </w:pPr>
      <w:r>
        <w:rPr>
          <w:b/>
          <w:bCs/>
        </w:rPr>
        <w:t>Response evaluation and tokenisation:</w:t>
      </w:r>
      <w:r>
        <w:t xml:space="preserve"> After the LLM generates a response, the plug‑in tokenises key elements related to fairness and moral reasoning (e.g., references to vulnerable groups, justification of recommendations). It then scores these tokens against predefined thresholds derived from CIT (or a pre‑empted Conscience IQ target). If the score falls below threshold, the plug‑in instructs the LLM to regenerate the answer or append a cautionary note and uses the scoring feedback to fine‑tune future responses.</w:t>
      </w:r>
    </w:p>
    <w:p w14:paraId="0E0BBE57" w14:textId="77777777" w:rsidR="006A33CE" w:rsidRDefault="00000000">
      <w:pPr>
        <w:pStyle w:val="Compact"/>
        <w:numPr>
          <w:ilvl w:val="0"/>
          <w:numId w:val="5"/>
        </w:numPr>
      </w:pPr>
      <w:r>
        <w:rPr>
          <w:b/>
          <w:bCs/>
        </w:rPr>
        <w:t>User feedback loop and moral transparency:</w:t>
      </w:r>
      <w:r>
        <w:t xml:space="preserve"> The plug‑in records biometric data and user ratings of satisfaction and perceived fairness. It writes the decision path, including the tokenised fairness assessment, the Conscience IQ score and any </w:t>
      </w:r>
      <w:r>
        <w:lastRenderedPageBreak/>
        <w:t xml:space="preserve">subsequent adjustments, to a blockchain or other tamper‑evident ledger. This </w:t>
      </w:r>
      <w:r>
        <w:rPr>
          <w:b/>
          <w:bCs/>
        </w:rPr>
        <w:t>blockchain‑based audit trail</w:t>
      </w:r>
      <w:r>
        <w:t xml:space="preserve"> provides transparency to all stakeholders about how moral decisions were made and allows the system to learn from feedback while preserving accountability.</w:t>
      </w:r>
    </w:p>
    <w:p w14:paraId="7391CD0B" w14:textId="77777777" w:rsidR="006A33CE" w:rsidRDefault="00000000">
      <w:pPr>
        <w:pStyle w:val="Heading4"/>
      </w:pPr>
      <w:bookmarkStart w:id="10" w:name="case-studies"/>
      <w:bookmarkEnd w:id="9"/>
      <w:r>
        <w:t>3.3 Case studies</w:t>
      </w:r>
    </w:p>
    <w:p w14:paraId="3B741D1A" w14:textId="77777777" w:rsidR="006A33CE" w:rsidRDefault="00000000">
      <w:pPr>
        <w:pStyle w:val="Compact"/>
        <w:numPr>
          <w:ilvl w:val="0"/>
          <w:numId w:val="6"/>
        </w:numPr>
      </w:pPr>
      <w:r>
        <w:rPr>
          <w:b/>
          <w:bCs/>
        </w:rPr>
        <w:t>Healthcare in rural India:</w:t>
      </w:r>
      <w:r>
        <w:t xml:space="preserve"> Build an LLM‑driven health assistant that delivers Ayurveda and allopathic advice. Use the plug‑in to ensure that recommendations respect cultural preferences for traditional and allopathic treatments. Biometrics will measure user stress when presented with conflicting advice and adjust recommendations accordingly.</w:t>
      </w:r>
    </w:p>
    <w:p w14:paraId="708D3CE5" w14:textId="77777777" w:rsidR="006A33CE" w:rsidRDefault="00000000">
      <w:pPr>
        <w:pStyle w:val="Compact"/>
        <w:numPr>
          <w:ilvl w:val="0"/>
          <w:numId w:val="6"/>
        </w:numPr>
      </w:pPr>
      <w:r>
        <w:rPr>
          <w:b/>
          <w:bCs/>
        </w:rPr>
        <w:t>Policy readiness assessment:</w:t>
      </w:r>
      <w:r>
        <w:t xml:space="preserve"> Deploy the plug‑in to gauge “conscience readiness” for new policies. For Sri Lanka’s fertilizer transition, the plug‑in could have flagged low Conscience IQ scores indicating public resistance.</w:t>
      </w:r>
    </w:p>
    <w:p w14:paraId="7565FDD9" w14:textId="77777777" w:rsidR="006A33CE" w:rsidRDefault="00000000">
      <w:pPr>
        <w:pStyle w:val="Compact"/>
        <w:numPr>
          <w:ilvl w:val="0"/>
          <w:numId w:val="6"/>
        </w:numPr>
      </w:pPr>
      <w:r>
        <w:rPr>
          <w:b/>
          <w:bCs/>
        </w:rPr>
        <w:t>Cultural sensitivity in medical AI:</w:t>
      </w:r>
      <w:r>
        <w:t xml:space="preserve"> Evaluate AI doctors in Middle Eastern contexts, ensuring respect for women’s preference for female physicians; the plug‑in will detect cultural misalignments and prompt alternative actions.</w:t>
      </w:r>
    </w:p>
    <w:p w14:paraId="64C853CF" w14:textId="77777777" w:rsidR="006A33CE" w:rsidRDefault="00000000">
      <w:pPr>
        <w:pStyle w:val="Heading3"/>
      </w:pPr>
      <w:bookmarkStart w:id="11" w:name="expected-outcomes"/>
      <w:bookmarkEnd w:id="7"/>
      <w:bookmarkEnd w:id="10"/>
      <w:r>
        <w:t>4. Expected Outcomes</w:t>
      </w:r>
    </w:p>
    <w:p w14:paraId="74440E47" w14:textId="77777777" w:rsidR="006A33CE" w:rsidRDefault="00000000">
      <w:pPr>
        <w:pStyle w:val="Compact"/>
        <w:numPr>
          <w:ilvl w:val="0"/>
          <w:numId w:val="7"/>
        </w:numPr>
      </w:pPr>
      <w:r>
        <w:rPr>
          <w:b/>
          <w:bCs/>
        </w:rPr>
        <w:t>Enhanced ethical alignment:</w:t>
      </w:r>
      <w:r>
        <w:t xml:space="preserve"> AI outputs will exhibit higher Conscience IQ scores, reflecting fairness, respect for local values and intrinsic motivation.</w:t>
      </w:r>
    </w:p>
    <w:p w14:paraId="71E4B113" w14:textId="77777777" w:rsidR="006A33CE" w:rsidRDefault="00000000">
      <w:pPr>
        <w:pStyle w:val="Compact"/>
        <w:numPr>
          <w:ilvl w:val="0"/>
          <w:numId w:val="7"/>
        </w:numPr>
      </w:pPr>
      <w:r>
        <w:rPr>
          <w:b/>
          <w:bCs/>
        </w:rPr>
        <w:t>Reduced bias and cultural imposition:</w:t>
      </w:r>
      <w:r>
        <w:t xml:space="preserve"> By measuring and responding to user stress and sincerity, the plug‑in will mitigate the risk of imposing western or Chinese values on diverse populations, addressing concerns about technological colonialism (Frontiers in Political Science, 2025).</w:t>
      </w:r>
    </w:p>
    <w:p w14:paraId="6D6A2CB2" w14:textId="77777777" w:rsidR="006A33CE" w:rsidRDefault="00000000">
      <w:pPr>
        <w:pStyle w:val="Compact"/>
        <w:numPr>
          <w:ilvl w:val="0"/>
          <w:numId w:val="7"/>
        </w:numPr>
      </w:pPr>
      <w:r>
        <w:rPr>
          <w:b/>
          <w:bCs/>
        </w:rPr>
        <w:t>Improved trust and adoption:</w:t>
      </w:r>
      <w:r>
        <w:t xml:space="preserve"> In healthcare, governance and business, the plug‑in will foster trust by transparently aligning AI recommendations with community values, leading to broader acceptance and better outcomes.</w:t>
      </w:r>
    </w:p>
    <w:p w14:paraId="1D41A02D" w14:textId="77777777" w:rsidR="006A33CE" w:rsidRDefault="00000000">
      <w:pPr>
        <w:pStyle w:val="Compact"/>
        <w:numPr>
          <w:ilvl w:val="0"/>
          <w:numId w:val="7"/>
        </w:numPr>
      </w:pPr>
      <w:r>
        <w:rPr>
          <w:b/>
          <w:bCs/>
        </w:rPr>
        <w:t>Insights into human‑AI interaction:</w:t>
      </w:r>
      <w:r>
        <w:t xml:space="preserve"> Biometric data will provide a novel window into how different communities react to AI, informing future ethical standards and regulations.</w:t>
      </w:r>
    </w:p>
    <w:p w14:paraId="79AAAD65" w14:textId="77777777" w:rsidR="006A33CE" w:rsidRDefault="00000000">
      <w:pPr>
        <w:pStyle w:val="Heading3"/>
      </w:pPr>
      <w:bookmarkStart w:id="12" w:name="significance-and-policy-relevance"/>
      <w:bookmarkEnd w:id="11"/>
      <w:r>
        <w:t>5. Significance and Policy Relevance</w:t>
      </w:r>
    </w:p>
    <w:p w14:paraId="23CAEDBC" w14:textId="77777777" w:rsidR="006A33CE" w:rsidRDefault="00000000">
      <w:pPr>
        <w:pStyle w:val="FirstParagraph"/>
      </w:pPr>
      <w:r>
        <w:t xml:space="preserve">This research answers calls for </w:t>
      </w:r>
      <w:r>
        <w:rPr>
          <w:b/>
          <w:bCs/>
        </w:rPr>
        <w:t>shared standards in AI ethics</w:t>
      </w:r>
      <w:r>
        <w:t xml:space="preserve"> (ConscienceIQ, n.d.) by offering a concrete tool that moves beyond abstract principles. Embedding Conscience IQ into LLMs addresses the </w:t>
      </w:r>
      <w:r>
        <w:rPr>
          <w:b/>
          <w:bCs/>
        </w:rPr>
        <w:t>global power imbalance</w:t>
      </w:r>
      <w:r>
        <w:t xml:space="preserve"> in AI development (Frontiers in Political Science, 2025) and aligns with recent regulatory conversations. As the United States relaxes AI regulations to promote competitiveness, and other governments explore AI governance, the CIT plug‑in provides a </w:t>
      </w:r>
      <w:r>
        <w:rPr>
          <w:b/>
          <w:bCs/>
        </w:rPr>
        <w:t>non‑partisan, values‑sensitive mechanism</w:t>
      </w:r>
      <w:r>
        <w:t xml:space="preserve"> that can be adopted across jurisdictions. It integrates neuroscience, positive psychology and theology into AI governance, ensuring that future models are not only </w:t>
      </w:r>
      <w:r>
        <w:rPr>
          <w:b/>
          <w:bCs/>
        </w:rPr>
        <w:t>intelligent but also conscientious</w:t>
      </w:r>
      <w:r>
        <w:t>.</w:t>
      </w:r>
    </w:p>
    <w:p w14:paraId="3B0F0A4E" w14:textId="77777777" w:rsidR="006A33CE" w:rsidRDefault="00000000">
      <w:pPr>
        <w:pStyle w:val="BodyText"/>
      </w:pPr>
      <w:r>
        <w:t xml:space="preserve">Importantly, the proposal contributes to </w:t>
      </w:r>
      <w:r>
        <w:rPr>
          <w:b/>
          <w:bCs/>
        </w:rPr>
        <w:t>decentralised AI infrastructures</w:t>
      </w:r>
      <w:r>
        <w:t xml:space="preserve"> by designing the plug‑in as an interoperable layer that can be deployed outside large proprietary </w:t>
      </w:r>
      <w:r>
        <w:lastRenderedPageBreak/>
        <w:t xml:space="preserve">platforms. This supports </w:t>
      </w:r>
      <w:r>
        <w:rPr>
          <w:b/>
          <w:bCs/>
        </w:rPr>
        <w:t>inclusive AI governance</w:t>
      </w:r>
      <w:r>
        <w:t xml:space="preserve"> by allowing communities and regulators to audit and adapt ethical thresholds. The project also emphasises the formation of </w:t>
      </w:r>
      <w:r>
        <w:rPr>
          <w:b/>
          <w:bCs/>
        </w:rPr>
        <w:t>ethical AI partnerships</w:t>
      </w:r>
      <w:r>
        <w:t xml:space="preserve"> across academia, industry and civil society, recognising that sustainable AI cannot be built by isolated actors but must emerge from collaborative, cross‑cultural engagements, echoing pluriversal and third‑space approaches to technology. Recent debates in scholarly publishing caution against uncritical use of generative AI: Flanagin et al. (2023) and Kaebnick et al. (2023) stress the importance of transparency and responsible AI authorship, while Munn (2023) argues that AI ethics without structural change is “useless.” Our framework addresses these critiques by embedding accountability and decentralisation into the technical design.</w:t>
      </w:r>
    </w:p>
    <w:p w14:paraId="4B0B3757" w14:textId="77777777" w:rsidR="006A33CE" w:rsidRDefault="00000000">
      <w:pPr>
        <w:pStyle w:val="Heading3"/>
      </w:pPr>
      <w:bookmarkStart w:id="13" w:name="future-work"/>
      <w:bookmarkEnd w:id="12"/>
      <w:r>
        <w:t>6. Future Work</w:t>
      </w:r>
    </w:p>
    <w:p w14:paraId="0856D8C1" w14:textId="77777777" w:rsidR="006A33CE" w:rsidRDefault="00000000">
      <w:pPr>
        <w:pStyle w:val="Compact"/>
        <w:numPr>
          <w:ilvl w:val="0"/>
          <w:numId w:val="8"/>
        </w:numPr>
      </w:pPr>
      <w:r>
        <w:rPr>
          <w:b/>
          <w:bCs/>
        </w:rPr>
        <w:t>Cross‑cultural benchmarking:</w:t>
      </w:r>
      <w:r>
        <w:t xml:space="preserve"> Conduct large‑scale studies to benchmark Conscience IQ scores across cultures and refine the plug‑in for diverse linguistic and cultural contexts.</w:t>
      </w:r>
    </w:p>
    <w:p w14:paraId="06C616EB" w14:textId="77777777" w:rsidR="006A33CE" w:rsidRDefault="00000000">
      <w:pPr>
        <w:pStyle w:val="Compact"/>
        <w:numPr>
          <w:ilvl w:val="0"/>
          <w:numId w:val="8"/>
        </w:numPr>
      </w:pPr>
      <w:r>
        <w:rPr>
          <w:b/>
          <w:bCs/>
        </w:rPr>
        <w:t>Open‑source framework:</w:t>
      </w:r>
      <w:r>
        <w:t xml:space="preserve"> Release the plug‑in as open‑source to prevent proprietary monopolies and encourage community participation.</w:t>
      </w:r>
    </w:p>
    <w:p w14:paraId="7869EEB0" w14:textId="77777777" w:rsidR="006A33CE" w:rsidRDefault="00000000">
      <w:pPr>
        <w:pStyle w:val="Compact"/>
        <w:numPr>
          <w:ilvl w:val="0"/>
          <w:numId w:val="8"/>
        </w:numPr>
      </w:pPr>
      <w:r>
        <w:rPr>
          <w:b/>
          <w:bCs/>
        </w:rPr>
        <w:t>Regulatory collaboration:</w:t>
      </w:r>
      <w:r>
        <w:t xml:space="preserve"> Engage with policymakers and international organisations to incorporate Conscience IQ standards into AI certifications, countering the concentration of power in big tech (Frontiers in Political Science, 2025).</w:t>
      </w:r>
    </w:p>
    <w:p w14:paraId="12F6D46B" w14:textId="77777777" w:rsidR="006A33CE" w:rsidRDefault="00000000">
      <w:pPr>
        <w:pStyle w:val="Heading2"/>
      </w:pPr>
      <w:bookmarkStart w:id="14" w:name="conclusion"/>
      <w:bookmarkEnd w:id="2"/>
      <w:bookmarkEnd w:id="13"/>
      <w:r>
        <w:t>Conclusion</w:t>
      </w:r>
    </w:p>
    <w:p w14:paraId="223FD7BA" w14:textId="77777777" w:rsidR="006A33CE" w:rsidRDefault="00000000">
      <w:pPr>
        <w:pStyle w:val="FirstParagraph"/>
      </w:pPr>
      <w:r>
        <w:t xml:space="preserve">The integration of Conscience IQ into generative AI represents a pragmatic step toward </w:t>
      </w:r>
      <w:r>
        <w:rPr>
          <w:b/>
          <w:bCs/>
        </w:rPr>
        <w:t>de‑colonising technology</w:t>
      </w:r>
      <w:r>
        <w:t>. By measuring and nurturing the ethical dimension of human and machine behaviour, CIT ensures that the future of AI is guided by sincerity, fairness and authenticity, not by the dominance of a few powerful entities. This research proposal outlines a path to operationalise CIT within AI systems, promising a more equitable and human‑centred digital future.</w:t>
      </w:r>
    </w:p>
    <w:p w14:paraId="0643BFA8" w14:textId="77777777" w:rsidR="006A33CE" w:rsidRDefault="00000000">
      <w:pPr>
        <w:pStyle w:val="Heading2"/>
      </w:pPr>
      <w:bookmarkStart w:id="15" w:name="references"/>
      <w:bookmarkEnd w:id="14"/>
      <w:r>
        <w:t>References</w:t>
      </w:r>
    </w:p>
    <w:p w14:paraId="701C55A3" w14:textId="77777777" w:rsidR="006A33CE" w:rsidRDefault="00000000">
      <w:pPr>
        <w:pStyle w:val="FirstParagraph"/>
      </w:pPr>
      <w:r>
        <w:t>Bhabha, H. K. (1994). </w:t>
      </w:r>
      <w:r>
        <w:rPr>
          <w:i/>
          <w:iCs/>
        </w:rPr>
        <w:t>The location of culture</w:t>
      </w:r>
      <w:r>
        <w:t>. Routledge.</w:t>
      </w:r>
    </w:p>
    <w:p w14:paraId="0A0E449B" w14:textId="77777777" w:rsidR="006A33CE" w:rsidRDefault="00000000">
      <w:pPr>
        <w:pStyle w:val="BodyText"/>
      </w:pPr>
      <w:r>
        <w:t>Conscience IQ. (n.d.). </w:t>
      </w:r>
      <w:r>
        <w:rPr>
          <w:i/>
          <w:iCs/>
        </w:rPr>
        <w:t>Conscience IQ theory</w:t>
      </w:r>
      <w:r>
        <w:t>. Retrieved August 8, 2025, from https://www.conscienceiq.com</w:t>
      </w:r>
    </w:p>
    <w:p w14:paraId="606AA17C" w14:textId="77777777" w:rsidR="006A33CE" w:rsidRDefault="00000000">
      <w:pPr>
        <w:pStyle w:val="BodyText"/>
      </w:pPr>
      <w:r>
        <w:t>Couldry, N., &amp; Mejias, U. A. (2018). Data colonialism: Rethinking big data’s relation to the contemporary subject. </w:t>
      </w:r>
      <w:r>
        <w:rPr>
          <w:i/>
          <w:iCs/>
        </w:rPr>
        <w:t>Television &amp; New Media</w:t>
      </w:r>
      <w:r>
        <w:t>, 20, 336–349. https://doi.org/10.1177/1527476418796632</w:t>
      </w:r>
    </w:p>
    <w:p w14:paraId="75C1EE35" w14:textId="77777777" w:rsidR="006A33CE" w:rsidRDefault="00000000">
      <w:pPr>
        <w:pStyle w:val="BodyText"/>
      </w:pPr>
      <w:r>
        <w:t>Crum, A. J., Corbin, W. R., Brownell, K. D., &amp; Salovey, P. (2011). Mind over milkshakes: Mindsets, not just nutrients, determine ghrelin response. </w:t>
      </w:r>
      <w:r>
        <w:rPr>
          <w:i/>
          <w:iCs/>
        </w:rPr>
        <w:t>Health Psychology</w:t>
      </w:r>
      <w:r>
        <w:t>, 30(4), 424–429. https://doi.org/10.1037/a0023467</w:t>
      </w:r>
    </w:p>
    <w:p w14:paraId="2BDC5121" w14:textId="77777777" w:rsidR="006A33CE" w:rsidRDefault="00000000">
      <w:pPr>
        <w:pStyle w:val="BodyText"/>
      </w:pPr>
      <w:r>
        <w:t xml:space="preserve">Dopamine. (2025). In </w:t>
      </w:r>
      <w:r>
        <w:rPr>
          <w:i/>
          <w:iCs/>
        </w:rPr>
        <w:t>Wikipedia</w:t>
      </w:r>
      <w:r>
        <w:t>. Retrieved August 8, 2025, from https://en.wikipedia.org/wiki/Dopamine</w:t>
      </w:r>
    </w:p>
    <w:p w14:paraId="3E212BCA" w14:textId="77777777" w:rsidR="006A33CE" w:rsidRDefault="00000000">
      <w:pPr>
        <w:pStyle w:val="BodyText"/>
      </w:pPr>
      <w:r>
        <w:lastRenderedPageBreak/>
        <w:t>Escobar, A. (2018). </w:t>
      </w:r>
      <w:r>
        <w:rPr>
          <w:i/>
          <w:iCs/>
        </w:rPr>
        <w:t>Designs for the pluriverse: Radical interdependence, autonomy, and the making of worlds</w:t>
      </w:r>
      <w:r>
        <w:t>. Duke University Press.</w:t>
      </w:r>
    </w:p>
    <w:p w14:paraId="1999C531" w14:textId="77777777" w:rsidR="006A33CE" w:rsidRDefault="00000000">
      <w:pPr>
        <w:pStyle w:val="BodyText"/>
      </w:pPr>
      <w:r>
        <w:t>Flanagin, A., Bibbins‑Domingo, K., Berkwits, M., &amp; Christiansen, S. L. (2023). Nonhuman “authors” and implications for the integrity of scientific publication and medical knowledge. </w:t>
      </w:r>
      <w:r>
        <w:rPr>
          <w:i/>
          <w:iCs/>
        </w:rPr>
        <w:t>JAMA</w:t>
      </w:r>
      <w:r>
        <w:t>, 329, 637–639. https://doi.org/10.1001/jama.2023.1344</w:t>
      </w:r>
    </w:p>
    <w:p w14:paraId="3B2EB65A" w14:textId="77777777" w:rsidR="006A33CE" w:rsidRDefault="00000000">
      <w:pPr>
        <w:pStyle w:val="BodyText"/>
      </w:pPr>
      <w:r>
        <w:t xml:space="preserve">Flow (psychology). (2025). In </w:t>
      </w:r>
      <w:r>
        <w:rPr>
          <w:i/>
          <w:iCs/>
        </w:rPr>
        <w:t>Wikipedia</w:t>
      </w:r>
      <w:r>
        <w:t>. Retrieved August 8, 2025, from https://en.wikipedia.org/wiki/Flow_(psychology)</w:t>
      </w:r>
    </w:p>
    <w:p w14:paraId="0A167477" w14:textId="77777777" w:rsidR="006A33CE" w:rsidRDefault="00000000">
      <w:pPr>
        <w:pStyle w:val="BodyText"/>
      </w:pPr>
      <w:r>
        <w:t>Generative artificial intelligence and the risk of technodigital colonialism. (2025). </w:t>
      </w:r>
      <w:r>
        <w:rPr>
          <w:i/>
          <w:iCs/>
        </w:rPr>
        <w:t>Frontiers in Political Science</w:t>
      </w:r>
      <w:r>
        <w:t>. Retrieved August 8, 2025, from https://www.frontiersin.org/journals/political-science/articles/10.3389/fpos.2025.1628139/full</w:t>
      </w:r>
    </w:p>
    <w:p w14:paraId="1A7E9D93" w14:textId="77777777" w:rsidR="006A33CE" w:rsidRDefault="00000000">
      <w:pPr>
        <w:pStyle w:val="BodyText"/>
      </w:pPr>
      <w:r>
        <w:t>Gebru, T., Morgenstern, J., Vecchione, B., Vaughan, J. W., Wallach, H., Daumé III, H., &amp; others. (2021). Datasheets for datasets. </w:t>
      </w:r>
      <w:r>
        <w:rPr>
          <w:i/>
          <w:iCs/>
        </w:rPr>
        <w:t>Communications of the ACM</w:t>
      </w:r>
      <w:r>
        <w:t>, 64, 86–92. https://doi.org/10.1145/3458723</w:t>
      </w:r>
    </w:p>
    <w:p w14:paraId="066FC78E" w14:textId="77777777" w:rsidR="006A33CE" w:rsidRDefault="00000000">
      <w:pPr>
        <w:pStyle w:val="BodyText"/>
      </w:pPr>
      <w:r>
        <w:t>Kaebnick, G. E., Magnus, D. C., Kao, A., Hosseini, M., Resnik, D., Dubljević, V., &amp; others. (2023). Editors’ statement on the responsible use of generative AI technologies in scholarly journal publishing. </w:t>
      </w:r>
      <w:r>
        <w:rPr>
          <w:i/>
          <w:iCs/>
        </w:rPr>
        <w:t>Medicine, Health Care and Philosophy</w:t>
      </w:r>
      <w:r>
        <w:t>, 26, 499–503. https://doi.org/10.1007/s11019‑023‑10176‑6</w:t>
      </w:r>
    </w:p>
    <w:p w14:paraId="09473A14" w14:textId="77777777" w:rsidR="006A33CE" w:rsidRDefault="00000000">
      <w:pPr>
        <w:pStyle w:val="BodyText"/>
      </w:pPr>
      <w:r>
        <w:t>Magalhães, J. C., &amp; Couldry, N. (2021). Giving by taking away: Big tech, data colonialism and the reconfiguration of social good. </w:t>
      </w:r>
      <w:r>
        <w:rPr>
          <w:i/>
          <w:iCs/>
        </w:rPr>
        <w:t>International Journal of Communication</w:t>
      </w:r>
      <w:r>
        <w:t>, 15, 343–362.</w:t>
      </w:r>
    </w:p>
    <w:p w14:paraId="0C8BBA2E" w14:textId="77777777" w:rsidR="006A33CE" w:rsidRDefault="00000000">
      <w:pPr>
        <w:pStyle w:val="BodyText"/>
      </w:pPr>
      <w:r>
        <w:t>Mignolo, W. D., &amp; Walsh, C. E. (2018). </w:t>
      </w:r>
      <w:r>
        <w:rPr>
          <w:i/>
          <w:iCs/>
        </w:rPr>
        <w:t>On decoloniality: Concepts, analytics, praxis</w:t>
      </w:r>
      <w:r>
        <w:t>. Duke University Press.</w:t>
      </w:r>
    </w:p>
    <w:p w14:paraId="677230EE" w14:textId="77777777" w:rsidR="006A33CE" w:rsidRDefault="00000000">
      <w:pPr>
        <w:pStyle w:val="BodyText"/>
      </w:pPr>
      <w:r>
        <w:t>Munn, L. (2023). The uselessness of AI ethics. </w:t>
      </w:r>
      <w:r>
        <w:rPr>
          <w:i/>
          <w:iCs/>
        </w:rPr>
        <w:t>AI Ethics</w:t>
      </w:r>
      <w:r>
        <w:t>, 3, 869–877. https://doi.org/10.1007/s43681‑022‑00209‑w</w:t>
      </w:r>
    </w:p>
    <w:p w14:paraId="22CBF979" w14:textId="77777777" w:rsidR="006A33CE" w:rsidRDefault="00000000">
      <w:pPr>
        <w:pStyle w:val="BodyText"/>
      </w:pPr>
      <w:r>
        <w:t>Nothias, T. (2025). An intellectual history of digital colonialism. </w:t>
      </w:r>
      <w:r>
        <w:rPr>
          <w:i/>
          <w:iCs/>
        </w:rPr>
        <w:t>Journal of Communication</w:t>
      </w:r>
      <w:r>
        <w:t>. https://doi.org/10.1093/joc/jqaf003</w:t>
      </w:r>
    </w:p>
    <w:p w14:paraId="062E56BA" w14:textId="77777777" w:rsidR="006A33CE" w:rsidRDefault="00000000">
      <w:pPr>
        <w:pStyle w:val="BodyText"/>
      </w:pPr>
      <w:r>
        <w:t>Obermeyer, Z., Powers, B., Vogeli, C., &amp; Mullainathan, S. (2019). Dissecting racial bias in an algorithm used to manage the health of populations. </w:t>
      </w:r>
      <w:r>
        <w:rPr>
          <w:i/>
          <w:iCs/>
        </w:rPr>
        <w:t>Science</w:t>
      </w:r>
      <w:r>
        <w:t>, 366, 447–453. https://doi.org/10.1126/science.aax2342</w:t>
      </w:r>
    </w:p>
    <w:p w14:paraId="3AC1C0CA" w14:textId="77777777" w:rsidR="006A33CE" w:rsidRDefault="00000000">
      <w:pPr>
        <w:pStyle w:val="BodyText"/>
      </w:pPr>
      <w:r>
        <w:t xml:space="preserve">Prefrontal cortex. (2025). In </w:t>
      </w:r>
      <w:r>
        <w:rPr>
          <w:i/>
          <w:iCs/>
        </w:rPr>
        <w:t>Wikipedia</w:t>
      </w:r>
      <w:r>
        <w:t>. Retrieved August 8, 2025, from https://en.wikipedia.org/wiki/Prefrontal_cortex</w:t>
      </w:r>
    </w:p>
    <w:p w14:paraId="360DC719" w14:textId="77777777" w:rsidR="006A33CE" w:rsidRDefault="00000000">
      <w:pPr>
        <w:pStyle w:val="BodyText"/>
      </w:pPr>
      <w:r>
        <w:t>Quijano, A. (2000). Colonialidad del poder, eurocentrismo y América Latina. In E. Lander (Ed.), </w:t>
      </w:r>
      <w:r>
        <w:rPr>
          <w:i/>
          <w:iCs/>
        </w:rPr>
        <w:t>La colonialidad del saber: Eurocentrismo y ciencias sociales. Perspectivas latinoamericanas</w:t>
      </w:r>
      <w:r>
        <w:t> (pp. 201–246). CLACSO.</w:t>
      </w:r>
    </w:p>
    <w:p w14:paraId="499BC906" w14:textId="77777777" w:rsidR="006A33CE" w:rsidRDefault="00000000">
      <w:pPr>
        <w:pStyle w:val="BodyText"/>
      </w:pPr>
      <w:r>
        <w:t>Rouvroy, A., &amp; Stiegler, B. (2016). The digital regime of truth: From the algorithmic governmentality to a new rule of law. </w:t>
      </w:r>
      <w:r>
        <w:rPr>
          <w:i/>
          <w:iCs/>
        </w:rPr>
        <w:t>La Deleuziana</w:t>
      </w:r>
      <w:r>
        <w:t>, 3, 6–29.</w:t>
      </w:r>
    </w:p>
    <w:p w14:paraId="787BB4D5" w14:textId="77777777" w:rsidR="006A33CE" w:rsidRDefault="00000000">
      <w:pPr>
        <w:pStyle w:val="BodyText"/>
      </w:pPr>
      <w:r>
        <w:lastRenderedPageBreak/>
        <w:t>Silveira, J. B., &amp; Lima, E. A. (2024). Racial biases in AIs and Gemini’s inability to write narratives about Black people. </w:t>
      </w:r>
      <w:r>
        <w:rPr>
          <w:i/>
          <w:iCs/>
        </w:rPr>
        <w:t>Emerging Media</w:t>
      </w:r>
      <w:r>
        <w:t>, 2, 277–287. https://doi.org/10.1177/27523543241277564</w:t>
      </w:r>
    </w:p>
    <w:p w14:paraId="3CD53E6C" w14:textId="77777777" w:rsidR="006A33CE" w:rsidRDefault="00000000">
      <w:pPr>
        <w:pStyle w:val="BodyText"/>
      </w:pPr>
      <w:r>
        <w:t>Zuboff, S. (2019). </w:t>
      </w:r>
      <w:r>
        <w:rPr>
          <w:i/>
          <w:iCs/>
        </w:rPr>
        <w:t>The age of surveillance capitalism: The fight for a human future at the new frontier of power</w:t>
      </w:r>
      <w:r>
        <w:t>. PublicAffairs.</w:t>
      </w:r>
      <w:bookmarkEnd w:id="0"/>
      <w:bookmarkEnd w:id="15"/>
    </w:p>
    <w:sectPr w:rsidR="006A33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262E4" w14:textId="77777777" w:rsidR="006207A8" w:rsidRDefault="006207A8">
      <w:pPr>
        <w:spacing w:after="0"/>
      </w:pPr>
      <w:r>
        <w:separator/>
      </w:r>
    </w:p>
  </w:endnote>
  <w:endnote w:type="continuationSeparator" w:id="0">
    <w:p w14:paraId="092F8B11" w14:textId="77777777" w:rsidR="006207A8" w:rsidRDefault="006207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A9A15" w14:textId="77777777" w:rsidR="006207A8" w:rsidRDefault="006207A8">
      <w:r>
        <w:separator/>
      </w:r>
    </w:p>
  </w:footnote>
  <w:footnote w:type="continuationSeparator" w:id="0">
    <w:p w14:paraId="258328AA" w14:textId="77777777" w:rsidR="006207A8" w:rsidRDefault="006207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AC273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0DE9C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1925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09343553">
    <w:abstractNumId w:val="0"/>
  </w:num>
  <w:num w:numId="2" w16cid:durableId="1404764415">
    <w:abstractNumId w:val="1"/>
  </w:num>
  <w:num w:numId="3" w16cid:durableId="1970279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61894174">
    <w:abstractNumId w:val="1"/>
  </w:num>
  <w:num w:numId="5" w16cid:durableId="1217936009">
    <w:abstractNumId w:val="1"/>
  </w:num>
  <w:num w:numId="6" w16cid:durableId="1343628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8066961">
    <w:abstractNumId w:val="1"/>
  </w:num>
  <w:num w:numId="8" w16cid:durableId="760640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CE"/>
    <w:rsid w:val="006207A8"/>
    <w:rsid w:val="006A33CE"/>
    <w:rsid w:val="00CB2AD7"/>
    <w:rsid w:val="00EB3841"/>
    <w:rsid w:val="00F576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2C5B44"/>
  <w15:docId w15:val="{3F38AB34-3EB9-5743-9018-90B3B460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3427</Words>
  <Characters>19538</Characters>
  <Application>Microsoft Office Word</Application>
  <DocSecurity>0</DocSecurity>
  <Lines>162</Lines>
  <Paragraphs>45</Paragraphs>
  <ScaleCrop>false</ScaleCrop>
  <Company/>
  <LinksUpToDate>false</LinksUpToDate>
  <CharactersWithSpaces>22920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Kirby De Lanerolle</dc:creator>
  <cp:keywords/>
  <cp:lastModifiedBy>Kirby De Lanerolle</cp:lastModifiedBy>
  <cp:revision>2</cp:revision>
  <dcterms:created xsi:type="dcterms:W3CDTF">2025-08-08T10:37:00Z</dcterms:created>
  <dcterms:modified xsi:type="dcterms:W3CDTF">2025-08-08T10:37:00Z</dcterms:modified>
</cp:coreProperties>
</file>