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highlights the recurring nature of ozone loss events, with all three data series showing synchronized peaks and troughs. The SAOZ series stands out with the most pronounced peaks, suggesting it might be more sensitive to extreme ozone depletion events. The consistency in the timing of these peaks across all series implies a common underlying cause, such as seasonal or climatic factors, affecting ozone levels globally. This information is crucial for understanding the dynamics of ozone depletion and for developing strategies to mitigate its impact.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