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This graph represents a network of interactions between individuals or groups, where each node signifies a participant, and the directed arrows represent the flow of discussions. The colors indicate different groups, and the arrows vary in color to distinguish the nature of interactions: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Blue arrows represent positive discussions.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Gray arrows represent neutral discussions.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Red arrows represent negative discussions.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By analyzing the structure of the graph, we can determine which group appears to be the most connected. A highly connected group will have a high number of links, both incoming and outgoing, indicating frequent interactions with other groups.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From visual inspection, Group 7 (green) stands out as the most connected. It is centrally located within the network, with a dense web of connections linking it to multiple other groups. The presence of numerous blue arrows suggests that Group 7 is involved in many positive discussions, further reinforcing its role as a key hub in the network.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Additionally, the density of arrows directed toward and originating from Group 7 indicates that it plays a crucial role in facilitating discussions across the network, acting as a bridge between different groups. This suggests that Group 7 is either a highly influential community or a mediator in discussions, promoting interaction among other participants.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