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This graph illustrates a network of interactions between different individuals or groups. Each node represents a participant, while the arrows indicate the direction of discussions. The color-coded groups distinguish various communities, and the arrows are categorized as follows: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Blue arrows signify positive discussions.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Gray arrows indicate neutral discussions.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Red arrows represent negative discussions.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To determine the most connected group, we analyze the density and distribution of connections. Group 7 (green) appears to be the most interconnected, positioned centrally in the network with numerous interactions extending to multiple other groups. The abundance of blue arrows suggests that Group 7 is actively engaged in positive discussions, making it a focal point of communication.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Additionally, the group's high number of both incoming and outgoing links implies that it serves as a key hub, facilitating engagement across the network. This positioning highlights Group 7 as an influential entity, possibly functioning as a mediator or a central point of exchange within the broader discussion landscape.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