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By summing the quantities of </w:t>
      </w:r>
      <w:r w:rsidDel="00000000" w:rsidR="00000000" w:rsidRPr="00000000">
        <w:rPr>
          <w:b w:val="1"/>
          <w:rtl w:val="0"/>
        </w:rPr>
        <w:t xml:space="preserve">strawberries from France</w:t>
      </w:r>
      <w:r w:rsidDel="00000000" w:rsidR="00000000" w:rsidRPr="00000000">
        <w:rPr>
          <w:rtl w:val="0"/>
        </w:rPr>
        <w:t xml:space="preserve"> listed in the table, we arrive at a total of </w:t>
      </w:r>
      <w:r w:rsidDel="00000000" w:rsidR="00000000" w:rsidRPr="00000000">
        <w:rPr>
          <w:b w:val="1"/>
          <w:rtl w:val="0"/>
        </w:rPr>
        <w:t xml:space="preserve">130 units</w:t>
      </w:r>
      <w:r w:rsidDel="00000000" w:rsidR="00000000" w:rsidRPr="00000000">
        <w:rPr>
          <w:rtl w:val="0"/>
        </w:rPr>
        <w:t xml:space="preserve">. This calculation involves carefully adding the individual quantities for each entry related to strawberries from France, ensuring that all data is accurately considered. The total of </w:t>
      </w:r>
      <w:r w:rsidDel="00000000" w:rsidR="00000000" w:rsidRPr="00000000">
        <w:rPr>
          <w:b w:val="1"/>
          <w:rtl w:val="0"/>
        </w:rPr>
        <w:t xml:space="preserve">130 units</w:t>
      </w:r>
      <w:r w:rsidDel="00000000" w:rsidR="00000000" w:rsidRPr="00000000">
        <w:rPr>
          <w:rtl w:val="0"/>
        </w:rPr>
        <w:t xml:space="preserve"> represents the overall amount of strawberries purchased from France, based on the available records in the table. It’s important to verify that each entry has been correctly included, as any missing or miscounted quantities could result in an inaccurate total. This total reflects the </w:t>
      </w:r>
      <w:r w:rsidDel="00000000" w:rsidR="00000000" w:rsidRPr="00000000">
        <w:rPr>
          <w:b w:val="1"/>
          <w:rtl w:val="0"/>
        </w:rPr>
        <w:t xml:space="preserve">volume</w:t>
      </w:r>
      <w:r w:rsidDel="00000000" w:rsidR="00000000" w:rsidRPr="00000000">
        <w:rPr>
          <w:rtl w:val="0"/>
        </w:rPr>
        <w:t xml:space="preserve"> of strawberries sourced from France, which can then be used to calculate total costs or other relevant metrics.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