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data presented indicates that ozone loss has been completely stable since 1990, with no variations or peaks observed in any of the data series. This stability implies that there are no external factors influencing ozone levels, and the ozone layer has remained unchanged over the past three decades.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