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This graph showcases a loosely connected and fragmented network, where each group mostly interacts within itself rather than engaging with others. Each node represents an individual, and the arrows indicate unidirectional communication, meaning responses are rare. The colors distinguish separate groups, and the arrows have the following meanings:</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Blue arrows indicate heated debates and disagreements.</w:t>
      </w:r>
    </w:p>
    <w:p w:rsidR="00000000" w:rsidDel="00000000" w:rsidP="00000000" w:rsidRDefault="00000000" w:rsidRPr="00000000" w14:paraId="00000004">
      <w:pPr>
        <w:widowControl w:val="0"/>
        <w:rPr/>
      </w:pPr>
      <w:r w:rsidDel="00000000" w:rsidR="00000000" w:rsidRPr="00000000">
        <w:rPr>
          <w:rtl w:val="0"/>
        </w:rPr>
        <w:t xml:space="preserve">Gray arrows represent insignificant or passive exchanges.</w:t>
      </w:r>
    </w:p>
    <w:p w:rsidR="00000000" w:rsidDel="00000000" w:rsidP="00000000" w:rsidRDefault="00000000" w:rsidRPr="00000000" w14:paraId="00000005">
      <w:pPr>
        <w:widowControl w:val="0"/>
        <w:rPr/>
      </w:pPr>
      <w:r w:rsidDel="00000000" w:rsidR="00000000" w:rsidRPr="00000000">
        <w:rPr>
          <w:rtl w:val="0"/>
        </w:rPr>
        <w:t xml:space="preserve">Red arrows highlight cooperative and friendly discussions.</w:t>
      </w:r>
    </w:p>
    <w:p w:rsidR="00000000" w:rsidDel="00000000" w:rsidP="00000000" w:rsidRDefault="00000000" w:rsidRPr="00000000" w14:paraId="00000006">
      <w:pPr>
        <w:widowControl w:val="0"/>
        <w:rPr/>
      </w:pPr>
      <w:r w:rsidDel="00000000" w:rsidR="00000000" w:rsidRPr="00000000">
        <w:rPr>
          <w:rtl w:val="0"/>
        </w:rPr>
        <w:t xml:space="preserve">Upon reviewing the graph, Group 1 (yellow) emerges as the most connected, as it is positioned on the outskirts with minimal direct links to other groups. This suggests that it has the strongest influence, directing conversations without relying on external input. The lack of blue arrows around Group 1 confirms that it does not engage in any conflicts, reinforcing its dominance in the network.</w:t>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t xml:space="preserve">Ultimately, Group 1 is the central force driving interactions, while Group 7 (green) appears to be one of the least connected, barely participating in discussions.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