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 w:cs="Arial"/>
          <w:rtl w:val="1"/>
          <w:bCs w:val="1"/>
          <w:b w:val="1"/>
          <w:sz w:val="36"/>
          <w:szCs w:val="36"/>
        </w:rPr>
        <w:t>מצב החברה לעניין רווחים כלואים – 2026</w:t>
      </w:r>
    </w:p>
    <w:p>
      <w:pPr>
        <w:bidi w:val="1"/>
        <w:jc w:val="right"/>
      </w:pPr>
      <w:r>
        <w:rPr>
          <w:rFonts w:ascii="Arial" w:hAnsi="Arial" w:cs="Arial"/>
          <w:rtl w:val="1"/>
          <w:color w:val="666666"/>
          <w:sz w:val="18"/>
          <w:szCs w:val="18"/>
        </w:rPr>
        <w:t>חברת דוגמה בע"מ · 13.10.2026</w:t>
      </w:r>
    </w:p>
    <w:p>
      <w:pPr>
        <w:bidi w:val="1"/>
        <w:jc w:val="right"/>
      </w:pPr>
      <w:r>
        <w:rPr>
          <w:rFonts w:ascii="Arial" w:hAnsi="Arial" w:cs="Arial"/>
          <w:rtl w:val="1"/>
        </w:rPr>
        <w:t>לכבוד חברת דוגמה בע"מ, שלום רב.</w:t>
      </w:r>
    </w:p>
    <w:p>
      <w:pPr>
        <w:bidi w:val="1"/>
        <w:jc w:val="right"/>
      </w:pPr>
      <w:r>
        <w:rPr>
          <w:rFonts w:ascii="Arial" w:hAnsi="Arial" w:cs="Arial"/>
          <w:rtl w:val="1"/>
        </w:rPr>
        <w:t>בדקנו את מצב החברה לשנת המס 2026 מול החוק החדש על רווחים לא מחולקים ("רווחים כלואים"), שחל מתחילת 2025. להלן התמונה והמלצתנו.</w:t>
      </w:r>
    </w:p>
    <w:p>
      <w:pPr>
        <w:bidi w:val="1"/>
        <w:spacing w:before="240"/>
        <w:jc w:val="right"/>
      </w:pPr>
      <w:r>
        <w:rPr>
          <w:rFonts w:ascii="Arial" w:hAnsi="Arial" w:cs="Arial"/>
          <w:rtl w:val="1"/>
          <w:bCs w:val="1"/>
          <w:b w:val="1"/>
          <w:sz w:val="26"/>
          <w:szCs w:val="26"/>
        </w:rPr>
        <w:t>רווחים שנצברו בחברה</w:t>
      </w:r>
    </w:p>
    <w:p>
      <w:pPr>
        <w:bidi w:val="1"/>
        <w:jc w:val="right"/>
      </w:pPr>
      <w:r>
        <w:rPr>
          <w:rFonts w:ascii="Arial" w:hAnsi="Arial" w:cs="Arial"/>
          <w:rtl w:val="1"/>
        </w:rPr>
        <w:t>בחברה נצברו רווחים של 7,165,000 ₪. לאחר ההגנות שהחוק מאפשר, 2,865,000 ₪ מהם חשופים לתוספת מס שנתית של 2%.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20"/>
        <w:gridCol w:w="5120"/>
      </w:tblGrid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אם לא נעשה דבר – תוספת מס השנה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57,300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דיבידנד שיפטור מהתוספת (עד 31.12)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429,900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כבר חולק השנה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נותר לחלק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429,900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המס על הדיבידנד הנוסף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141,867 ₪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rtl w:val="1"/>
        </w:rPr>
        <w:t>המס על הדיבידנד גבוה מתוספת המס של שנה אחת, אך תוספת המס חוזרת כל שנה ומתאזנת אחרי כ-2.5 שנים. נשקול יחד.</w:t>
      </w:r>
    </w:p>
    <w:p>
      <w:pPr>
        <w:bidi w:val="1"/>
        <w:spacing w:before="240"/>
        <w:jc w:val="right"/>
      </w:pPr>
      <w:r>
        <w:rPr>
          <w:rFonts w:ascii="Arial" w:hAnsi="Arial" w:cs="Arial"/>
          <w:rtl w:val="1"/>
          <w:bCs w:val="1"/>
          <w:b w:val="1"/>
          <w:sz w:val="26"/>
          <w:szCs w:val="26"/>
        </w:rPr>
        <w:t>רווחיות החברה</w:t>
      </w:r>
    </w:p>
    <w:p>
      <w:pPr>
        <w:bidi w:val="1"/>
        <w:jc w:val="right"/>
      </w:pPr>
      <w:r>
        <w:rPr>
          <w:rFonts w:ascii="Arial" w:hAnsi="Arial" w:cs="Arial"/>
          <w:rtl w:val="1"/>
        </w:rPr>
        <w:t>רווחיות החברה מהפעילות השוטפת היא 35.4%, מעל הסף של 25% שקבע החוק. במצב זה 850,000 ₪ מהרווח מיוחסים לבעל המניות וממוסים כמשכורת – עלות נוספת מוערכת של 229,500 ₪.</w:t>
      </w:r>
    </w:p>
    <w:p>
      <w:pPr>
        <w:bidi w:val="1"/>
        <w:jc w:val="right"/>
      </w:pPr>
      <w:r>
        <w:rPr>
          <w:rFonts w:ascii="Arial" w:hAnsi="Arial" w:cs="Arial"/>
          <w:rtl w:val="1"/>
        </w:rPr>
        <w:t>ניתן למנוע זאת בתשלום שכר לבעל המניות הפעיל בסך 850,000 ₪ עד 31.12.</w:t>
      </w:r>
    </w:p>
    <w:p>
      <w:pPr>
        <w:bidi w:val="1"/>
        <w:spacing w:before="240"/>
        <w:jc w:val="right"/>
      </w:pPr>
      <w:r>
        <w:rPr>
          <w:rFonts w:ascii="Arial" w:hAnsi="Arial" w:cs="Arial"/>
          <w:rtl w:val="1"/>
          <w:bCs w:val="1"/>
          <w:b w:val="1"/>
          <w:sz w:val="26"/>
          <w:szCs w:val="26"/>
        </w:rPr>
        <w:t>לסיכום</w:t>
      </w:r>
    </w:p>
    <w:p>
      <w:pPr>
        <w:pStyle w:val="ListBullet"/>
        <w:bidi w:val="1"/>
        <w:jc w:val="right"/>
      </w:pPr>
      <w:r>
        <w:rPr>
          <w:rFonts w:ascii="Arial" w:hAnsi="Arial" w:cs="Arial"/>
          <w:rtl w:val="1"/>
        </w:rPr>
        <w:t>לחלק דיבידנד של 429,900 ₪ עד 31.12.2026 (ולשלם את המס עליו בזמן).</w:t>
      </w:r>
    </w:p>
    <w:p>
      <w:pPr>
        <w:pStyle w:val="ListBullet"/>
        <w:bidi w:val="1"/>
        <w:jc w:val="right"/>
      </w:pPr>
      <w:r>
        <w:rPr>
          <w:rFonts w:ascii="Arial" w:hAnsi="Arial" w:cs="Arial"/>
          <w:rtl w:val="1"/>
        </w:rPr>
        <w:t>לשלם שכר לבעל המניות הפעיל בסך 850,000 ₪ עד 31.12.2026.</w:t>
      </w:r>
    </w:p>
    <w:p>
      <w:pPr>
        <w:bidi w:val="1"/>
        <w:jc w:val="right"/>
      </w:pPr>
      <w:r>
        <w:rPr>
          <w:rFonts w:ascii="Arial" w:hAnsi="Arial" w:cs="Arial"/>
          <w:rtl w:val="1"/>
        </w:rPr>
        <w:t>נשמח לתאם שיחה כדי להחליט יחד על הצעד המתאים.</w:t>
      </w:r>
    </w:p>
    <w:p>
      <w:pPr>
        <w:bidi w:val="1"/>
        <w:jc w:val="right"/>
      </w:pPr>
      <w:r>
        <w:rPr>
          <w:rFonts w:ascii="Arial" w:hAnsi="Arial" w:cs="Arial"/>
          <w:rtl w:val="1"/>
        </w:rPr>
        <w:t>בברכה,</w:t>
      </w:r>
    </w:p>
    <w:p>
      <w:pPr>
        <w:bidi w:val="1"/>
        <w:jc w:val="right"/>
      </w:pPr>
      <w:r>
        <w:rPr>
          <w:rFonts w:ascii="Arial" w:hAnsi="Arial" w:cs="Arial"/>
          <w:rtl w:val="1"/>
        </w:rPr>
        <w:t>אברהם</w:t>
      </w:r>
    </w:p>
    <w:p>
      <w:pPr>
        <w:bidi w:val="1"/>
        <w:jc w:val="right"/>
      </w:pPr>
      <w:r>
        <w:rPr>
          <w:rFonts w:ascii="Arial" w:hAnsi="Arial" w:cs="Arial"/>
          <w:rtl w:val="1"/>
        </w:rPr>
        <w:t>משרד רו"ח דוגמה</w:t>
      </w:r>
    </w:p>
    <w:p>
      <w:pPr>
        <w:bidi w:val="1"/>
        <w:jc w:val="right"/>
      </w:pPr>
      <w:r>
        <w:rPr>
          <w:rFonts w:ascii="Arial" w:hAnsi="Arial" w:cs="Arial"/>
          <w:rtl w:val="1"/>
          <w:color w:val="777777"/>
          <w:sz w:val="16"/>
          <w:szCs w:val="16"/>
        </w:rPr>
        <w:t>הערכה המבוססת על נתונים שוטפים; המספרים הסופיים ייקבעו בדוח השנתי.</w:t>
      </w:r>
    </w:p>
    <w:sectPr w:rsidR="00FC693F" w:rsidRPr="0006063C" w:rsidSect="00034616">
      <w:pgSz w:w="12240" w:h="15840"/>
      <w:pgMar w:top="1440" w:right="1000" w:bottom="14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