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1E0"/>
      </w:tblPr>
      <w:tblGrid>
        <w:gridCol w:w="6752"/>
      </w:tblGrid>
      <w:tr w:rsidR="00A64C18" w:rsidRPr="00CF05B4" w:rsidTr="00A905EE">
        <w:trPr>
          <w:trHeight w:val="1134"/>
        </w:trPr>
        <w:tc>
          <w:tcPr>
            <w:tcW w:w="7128" w:type="dxa"/>
            <w:tcBorders>
              <w:top w:val="nil"/>
              <w:left w:val="nil"/>
              <w:bottom w:val="nil"/>
              <w:right w:val="nil"/>
            </w:tcBorders>
            <w:vAlign w:val="bottom"/>
          </w:tcPr>
          <w:p w:rsidR="00BE1295" w:rsidRDefault="00BE1295" w:rsidP="00A905EE">
            <w:pPr>
              <w:pStyle w:val="TitleSecondary"/>
              <w:rPr>
                <w:rFonts w:ascii="Arial" w:hAnsi="Arial"/>
                <w:szCs w:val="28"/>
                <w:lang w:val="en-NZ"/>
              </w:rPr>
            </w:pPr>
            <w:bookmarkStart w:id="0" w:name="_GoBack"/>
            <w:bookmarkEnd w:id="0"/>
          </w:p>
          <w:p w:rsidR="00BE1295" w:rsidRDefault="00BE1295" w:rsidP="00A905EE">
            <w:pPr>
              <w:pStyle w:val="TitleSecondary"/>
              <w:rPr>
                <w:rFonts w:ascii="Arial" w:hAnsi="Arial"/>
                <w:szCs w:val="28"/>
                <w:lang w:val="en-NZ"/>
              </w:rPr>
            </w:pPr>
            <w:r>
              <w:rPr>
                <w:rFonts w:ascii="Arial" w:hAnsi="Arial"/>
                <w:szCs w:val="28"/>
                <w:lang w:val="en-NZ"/>
              </w:rPr>
              <w:t>Vice-Chancellor’s Office</w:t>
            </w:r>
          </w:p>
          <w:p w:rsidR="00BE1295" w:rsidRPr="00032BB8" w:rsidRDefault="00BE1295" w:rsidP="00A905EE">
            <w:pPr>
              <w:pStyle w:val="TitleSecondary"/>
              <w:rPr>
                <w:rFonts w:ascii="Arial" w:hAnsi="Arial"/>
                <w:szCs w:val="28"/>
                <w:lang w:val="en-NZ"/>
              </w:rPr>
            </w:pPr>
            <w:r w:rsidRPr="00032BB8">
              <w:rPr>
                <w:rFonts w:ascii="Arial" w:hAnsi="Arial"/>
                <w:szCs w:val="28"/>
                <w:lang w:val="en-NZ"/>
              </w:rPr>
              <w:t>Postgraduate Office</w:t>
            </w:r>
          </w:p>
        </w:tc>
      </w:tr>
    </w:tbl>
    <w:p w:rsidR="00BE1295" w:rsidRPr="00CF05B4" w:rsidRDefault="00BE1295" w:rsidP="00BE1295">
      <w:pPr>
        <w:rPr>
          <w:rFonts w:ascii="Arial" w:hAnsi="Arial"/>
          <w:szCs w:val="18"/>
        </w:rPr>
      </w:pPr>
      <w:r>
        <w:rPr>
          <w:noProof/>
          <w:lang w:val="en-NZ" w:eastAsia="en-NZ"/>
        </w:rPr>
        <w:drawing>
          <wp:anchor distT="0" distB="0" distL="114300" distR="114300" simplePos="0" relativeHeight="251659264" behindDoc="0" locked="0" layoutInCell="1" allowOverlap="1">
            <wp:simplePos x="933450" y="1638300"/>
            <wp:positionH relativeFrom="margin">
              <wp:align>right</wp:align>
            </wp:positionH>
            <wp:positionV relativeFrom="margin">
              <wp:align>top</wp:align>
            </wp:positionV>
            <wp:extent cx="1438275" cy="1104900"/>
            <wp:effectExtent l="19050" t="0" r="9525" b="0"/>
            <wp:wrapSquare wrapText="bothSides"/>
            <wp:docPr id="7" name="Picture 6"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CPositive_fax-memo_BMP"/>
                    <pic:cNvPicPr>
                      <a:picLocks noChangeAspect="1" noChangeArrowheads="1"/>
                    </pic:cNvPicPr>
                  </pic:nvPicPr>
                  <pic:blipFill>
                    <a:blip r:embed="rId5" cstate="print"/>
                    <a:srcRect/>
                    <a:stretch>
                      <a:fillRect/>
                    </a:stretch>
                  </pic:blipFill>
                  <pic:spPr bwMode="auto">
                    <a:xfrm>
                      <a:off x="0" y="0"/>
                      <a:ext cx="1438275" cy="1104900"/>
                    </a:xfrm>
                    <a:prstGeom prst="rect">
                      <a:avLst/>
                    </a:prstGeom>
                    <a:noFill/>
                    <a:ln w="9525">
                      <a:noFill/>
                      <a:miter lim="800000"/>
                      <a:headEnd/>
                      <a:tailEnd/>
                    </a:ln>
                  </pic:spPr>
                </pic:pic>
              </a:graphicData>
            </a:graphic>
          </wp:anchor>
        </w:drawing>
      </w:r>
    </w:p>
    <w:p w:rsidR="00BE1295" w:rsidRPr="00CF05B4" w:rsidRDefault="00BE1295" w:rsidP="00BE1295">
      <w:pPr>
        <w:rPr>
          <w:rFonts w:ascii="Arial" w:hAnsi="Arial"/>
          <w:szCs w:val="18"/>
        </w:rPr>
      </w:pPr>
    </w:p>
    <w:tbl>
      <w:tblPr>
        <w:tblStyle w:val="TableGrid"/>
        <w:tblW w:w="11927" w:type="dxa"/>
        <w:jc w:val="center"/>
        <w:tblInd w:w="-1505" w:type="dxa"/>
        <w:shd w:val="clear" w:color="auto" w:fill="000000"/>
        <w:tblLook w:val="01E0"/>
      </w:tblPr>
      <w:tblGrid>
        <w:gridCol w:w="11927"/>
      </w:tblGrid>
      <w:tr w:rsidR="00BE1295" w:rsidRPr="00CF05B4" w:rsidTr="00A905EE">
        <w:trPr>
          <w:trHeight w:val="851"/>
          <w:jc w:val="center"/>
        </w:trPr>
        <w:tc>
          <w:tcPr>
            <w:tcW w:w="11927" w:type="dxa"/>
            <w:shd w:val="clear" w:color="auto" w:fill="000000"/>
            <w:vAlign w:val="center"/>
          </w:tcPr>
          <w:p w:rsidR="00BE1295" w:rsidRPr="000470B7" w:rsidRDefault="00BE1295" w:rsidP="00A905EE">
            <w:pPr>
              <w:pStyle w:val="Heading3"/>
              <w:ind w:right="594"/>
              <w:jc w:val="right"/>
              <w:outlineLvl w:val="2"/>
              <w:rPr>
                <w:rFonts w:ascii="Verdana" w:hAnsi="Verdana"/>
                <w:sz w:val="40"/>
                <w:szCs w:val="40"/>
                <w:lang w:val="en-NZ"/>
              </w:rPr>
            </w:pPr>
            <w:r w:rsidRPr="000470B7">
              <w:rPr>
                <w:sz w:val="40"/>
                <w:szCs w:val="40"/>
              </w:rPr>
              <w:tab/>
            </w:r>
            <w:r w:rsidRPr="000470B7">
              <w:rPr>
                <w:rFonts w:ascii="Verdana" w:hAnsi="Verdana"/>
                <w:sz w:val="40"/>
                <w:szCs w:val="40"/>
                <w:lang w:val="en-NZ"/>
              </w:rPr>
              <w:t xml:space="preserve"> </w:t>
            </w:r>
            <w:r>
              <w:rPr>
                <w:rFonts w:ascii="Verdana" w:hAnsi="Verdana"/>
                <w:sz w:val="40"/>
                <w:szCs w:val="40"/>
                <w:lang w:val="en-NZ"/>
              </w:rPr>
              <w:t xml:space="preserve">Guidelines </w:t>
            </w:r>
            <w:r w:rsidRPr="000470B7">
              <w:rPr>
                <w:rFonts w:ascii="Verdana" w:hAnsi="Verdana"/>
                <w:sz w:val="40"/>
                <w:szCs w:val="40"/>
                <w:lang w:val="en-NZ"/>
              </w:rPr>
              <w:t xml:space="preserve">for Master’s Thesis Examiners </w:t>
            </w:r>
          </w:p>
          <w:p w:rsidR="00BE1295" w:rsidRPr="00B80887" w:rsidRDefault="00BE1295" w:rsidP="00A905EE">
            <w:pPr>
              <w:pStyle w:val="Heading3"/>
              <w:ind w:right="594"/>
              <w:jc w:val="right"/>
              <w:outlineLvl w:val="2"/>
              <w:rPr>
                <w:rFonts w:ascii="Verdana" w:hAnsi="Verdana" w:cs="Arial"/>
                <w:b w:val="0"/>
                <w:bCs w:val="0"/>
                <w:w w:val="90"/>
                <w:sz w:val="32"/>
                <w:szCs w:val="32"/>
              </w:rPr>
            </w:pPr>
          </w:p>
        </w:tc>
      </w:tr>
    </w:tbl>
    <w:p w:rsidR="00BE1295" w:rsidRPr="00CF05B4" w:rsidRDefault="00BE1295" w:rsidP="00BE1295">
      <w:pPr>
        <w:rPr>
          <w:rFonts w:ascii="Arial" w:hAnsi="Arial"/>
        </w:rPr>
      </w:pPr>
    </w:p>
    <w:p w:rsidR="00BE1295" w:rsidRPr="008A1D14" w:rsidRDefault="00BE1295" w:rsidP="00BE1295">
      <w:r w:rsidRPr="008A1D14">
        <w:t xml:space="preserve"> </w:t>
      </w:r>
      <w:r w:rsidRPr="008A1D14">
        <w:rPr>
          <w:b/>
          <w:bCs/>
        </w:rPr>
        <w:t xml:space="preserve">Date Last Modified: </w:t>
      </w:r>
      <w:r>
        <w:rPr>
          <w:b/>
          <w:bCs/>
        </w:rPr>
        <w:t xml:space="preserve">  </w:t>
      </w:r>
      <w:r w:rsidR="008B20B6">
        <w:t>February 2014</w:t>
      </w:r>
    </w:p>
    <w:p w:rsidR="00BE1295" w:rsidRDefault="00BE1295" w:rsidP="00BE1295">
      <w:pPr>
        <w:rPr>
          <w:b/>
          <w:bCs/>
        </w:rPr>
      </w:pPr>
    </w:p>
    <w:p w:rsidR="00BE1295" w:rsidRPr="008A1D14" w:rsidRDefault="00BE1295" w:rsidP="00BE1295">
      <w:r w:rsidRPr="008A1D14">
        <w:rPr>
          <w:b/>
          <w:bCs/>
        </w:rPr>
        <w:t xml:space="preserve">How many examiners are there, and who are they? </w:t>
      </w:r>
      <w:r w:rsidRPr="008A1D14">
        <w:t xml:space="preserve">There </w:t>
      </w:r>
      <w:r>
        <w:t xml:space="preserve">are two independent thesis examiners. One examiner is external to the University of Canterbury. The other examiner will usually </w:t>
      </w:r>
      <w:r w:rsidRPr="008A1D14">
        <w:t>be an academic staff member of the University but</w:t>
      </w:r>
      <w:r>
        <w:t xml:space="preserve"> can</w:t>
      </w:r>
      <w:r w:rsidRPr="008A1D14">
        <w:t xml:space="preserve">not be the Senior Supervisor and </w:t>
      </w:r>
      <w:r>
        <w:t xml:space="preserve">will </w:t>
      </w:r>
      <w:r w:rsidRPr="008A1D14">
        <w:t xml:space="preserve">not normally </w:t>
      </w:r>
      <w:r>
        <w:t xml:space="preserve">be </w:t>
      </w:r>
      <w:r w:rsidRPr="008A1D14">
        <w:t>a member of the supervisory team</w:t>
      </w:r>
      <w:r>
        <w:t>,</w:t>
      </w:r>
      <w:r w:rsidRPr="008A1D14">
        <w:t xml:space="preserve"> unless there is no other member of the University qualified to act as examiner. </w:t>
      </w:r>
      <w:r>
        <w:t>If no suitable examiner can be identified at the University then two examiners external to the University may be appointed</w:t>
      </w:r>
      <w:r w:rsidRPr="008A1D14">
        <w:t xml:space="preserve">. </w:t>
      </w:r>
    </w:p>
    <w:p w:rsidR="00BE1295" w:rsidRDefault="00BE1295" w:rsidP="00BE1295">
      <w:pPr>
        <w:rPr>
          <w:b/>
          <w:bCs/>
        </w:rPr>
      </w:pPr>
    </w:p>
    <w:p w:rsidR="00BE1295" w:rsidRPr="008A1D14" w:rsidRDefault="00BE1295" w:rsidP="00BE1295">
      <w:r w:rsidRPr="008A1D14">
        <w:rPr>
          <w:b/>
          <w:bCs/>
        </w:rPr>
        <w:t xml:space="preserve">Who appoints the examiners? </w:t>
      </w:r>
      <w:r w:rsidRPr="008A1D14">
        <w:t xml:space="preserve">The Dean of Postgraduate </w:t>
      </w:r>
      <w:r>
        <w:t>Research</w:t>
      </w:r>
      <w:r w:rsidRPr="008A1D14">
        <w:t xml:space="preserve">, after considering the recommendations from the relevant Department/School. </w:t>
      </w:r>
    </w:p>
    <w:p w:rsidR="00BE1295" w:rsidRDefault="00BE1295" w:rsidP="00BE1295">
      <w:pPr>
        <w:rPr>
          <w:b/>
          <w:bCs/>
        </w:rPr>
      </w:pPr>
    </w:p>
    <w:p w:rsidR="00BE1295" w:rsidRDefault="00BE1295" w:rsidP="00BE1295">
      <w:r w:rsidRPr="008A1D14">
        <w:rPr>
          <w:b/>
          <w:bCs/>
        </w:rPr>
        <w:t xml:space="preserve">Who knows who the examiners are? </w:t>
      </w:r>
      <w:r w:rsidRPr="008A1D14">
        <w:t xml:space="preserve">Prior to the nomination of examiners, the </w:t>
      </w:r>
      <w:r>
        <w:t>Head of Department/School</w:t>
      </w:r>
      <w:r w:rsidRPr="008A1D14">
        <w:t xml:space="preserve"> </w:t>
      </w:r>
      <w:r>
        <w:t>must</w:t>
      </w:r>
      <w:r w:rsidRPr="008A1D14">
        <w:t xml:space="preserve"> inform the candidate of the names of the proposed examiners. The candidate has the right to make a case to the </w:t>
      </w:r>
      <w:r>
        <w:t xml:space="preserve">Dean of Postgraduate Research </w:t>
      </w:r>
      <w:r w:rsidRPr="008A1D14">
        <w:t>that a particular person</w:t>
      </w:r>
      <w:r>
        <w:t xml:space="preserve"> </w:t>
      </w:r>
      <w:r w:rsidRPr="008A1D14">
        <w:t>not be appointed as an examiner.</w:t>
      </w:r>
    </w:p>
    <w:p w:rsidR="00BE1295" w:rsidRDefault="00BE1295" w:rsidP="00BE1295">
      <w:pPr>
        <w:rPr>
          <w:b/>
        </w:rPr>
      </w:pPr>
    </w:p>
    <w:p w:rsidR="00BE1295" w:rsidRPr="001B4294" w:rsidRDefault="00BE1295" w:rsidP="00BE1295">
      <w:r>
        <w:rPr>
          <w:b/>
        </w:rPr>
        <w:t xml:space="preserve">With whom can the examiners communicate? </w:t>
      </w:r>
      <w:r>
        <w:t xml:space="preserve">Prior to grading the thesis, examiners may communicate only with the Dean of Postgraduate Research (directly or via the Postgraduate Office). There should be no contact with any other party (e.g., student, supervisors, the other examiner).The Departmental Postgraduate Coordinator may contact examiners after the examiners’ reports have been received, in order to reach consensus over the recommended grade for the thesis. </w:t>
      </w:r>
    </w:p>
    <w:p w:rsidR="00BE1295" w:rsidRDefault="00BE1295" w:rsidP="00BE1295">
      <w:pPr>
        <w:rPr>
          <w:b/>
          <w:bCs/>
        </w:rPr>
      </w:pPr>
    </w:p>
    <w:p w:rsidR="00BE1295" w:rsidRPr="008A1D14" w:rsidRDefault="00BE1295" w:rsidP="00BE1295">
      <w:r w:rsidRPr="008A1D14">
        <w:rPr>
          <w:b/>
          <w:bCs/>
        </w:rPr>
        <w:t xml:space="preserve">How should I submit my report on the thesis? </w:t>
      </w:r>
      <w:r w:rsidRPr="008A1D14">
        <w:t>Examiners are asked to report on the thesis independently, in writing</w:t>
      </w:r>
      <w:r>
        <w:t xml:space="preserve"> (see guidelines below)</w:t>
      </w:r>
      <w:r w:rsidRPr="008A1D14">
        <w:t xml:space="preserve">. Reports should be sent </w:t>
      </w:r>
      <w:r>
        <w:t xml:space="preserve">electronically </w:t>
      </w:r>
      <w:r w:rsidRPr="008A1D14">
        <w:t xml:space="preserve">to the Postgraduate Office </w:t>
      </w:r>
      <w:r>
        <w:t>(</w:t>
      </w:r>
      <w:hyperlink r:id="rId6" w:history="1">
        <w:r w:rsidRPr="005C5D52">
          <w:rPr>
            <w:rStyle w:val="Hyperlink"/>
          </w:rPr>
          <w:t>postgraduate-office@canterbury.ac.nz</w:t>
        </w:r>
      </w:hyperlink>
      <w:r>
        <w:t xml:space="preserve">) </w:t>
      </w:r>
      <w:r w:rsidRPr="008A1D14">
        <w:t xml:space="preserve">within six weeks of receiving the thesis. </w:t>
      </w:r>
      <w:r>
        <w:t>A written report</w:t>
      </w:r>
      <w:r w:rsidRPr="008A1D14">
        <w:t xml:space="preserve"> </w:t>
      </w:r>
      <w:r>
        <w:t xml:space="preserve">(commentary) usually </w:t>
      </w:r>
      <w:r w:rsidRPr="008A1D14">
        <w:t>consists of 2-</w:t>
      </w:r>
      <w:r>
        <w:t>4</w:t>
      </w:r>
      <w:r w:rsidRPr="008A1D14">
        <w:t xml:space="preserve"> pages</w:t>
      </w:r>
      <w:r>
        <w:t xml:space="preserve">. </w:t>
      </w:r>
      <w:r w:rsidRPr="00B75BA8">
        <w:t>The examiners shall not require, nor allow, substantive revision or correction of the thesis</w:t>
      </w:r>
      <w:r>
        <w:t xml:space="preserve"> and must recommend a grade for the thesis as submitted</w:t>
      </w:r>
      <w:r w:rsidRPr="00B75BA8">
        <w:t>. Examiners may recommend that, as a condition of the award of th</w:t>
      </w:r>
      <w:r>
        <w:t xml:space="preserve">e degree, </w:t>
      </w:r>
      <w:r w:rsidRPr="00B75BA8">
        <w:t xml:space="preserve">minor editorial corrections or amendments </w:t>
      </w:r>
      <w:r>
        <w:t xml:space="preserve">(e.g. correction of typographical errors) </w:t>
      </w:r>
      <w:r w:rsidRPr="00B75BA8">
        <w:t>be made to the thesis.</w:t>
      </w:r>
      <w:r w:rsidRPr="008A1D14">
        <w:t xml:space="preserve"> </w:t>
      </w:r>
      <w:r w:rsidR="006D7E37">
        <w:t xml:space="preserve">The examiners reports and recommended grades will be released to the student and supervisor after the examination process has been completed. </w:t>
      </w:r>
    </w:p>
    <w:p w:rsidR="00BE1295" w:rsidRDefault="00BE1295" w:rsidP="00BE1295">
      <w:pPr>
        <w:rPr>
          <w:b/>
          <w:bCs/>
        </w:rPr>
      </w:pPr>
    </w:p>
    <w:p w:rsidR="00BE1295" w:rsidRDefault="00BE1295" w:rsidP="00BE1295">
      <w:r w:rsidRPr="008A1D14">
        <w:rPr>
          <w:b/>
          <w:bCs/>
        </w:rPr>
        <w:t xml:space="preserve">The </w:t>
      </w:r>
      <w:r>
        <w:rPr>
          <w:b/>
          <w:bCs/>
        </w:rPr>
        <w:t xml:space="preserve">Master’s </w:t>
      </w:r>
      <w:r w:rsidRPr="008A1D14">
        <w:rPr>
          <w:b/>
          <w:bCs/>
        </w:rPr>
        <w:t xml:space="preserve">grading system at Canterbury </w:t>
      </w:r>
      <w:r>
        <w:rPr>
          <w:b/>
          <w:bCs/>
        </w:rPr>
        <w:t xml:space="preserve">University. </w:t>
      </w:r>
      <w:r w:rsidRPr="008A1D14">
        <w:rPr>
          <w:b/>
          <w:bCs/>
        </w:rPr>
        <w:t xml:space="preserve"> </w:t>
      </w:r>
      <w:r w:rsidRPr="008A1D14">
        <w:t>You are asked to provide a recommended grade for the thesis</w:t>
      </w:r>
      <w:r>
        <w:t>.</w:t>
      </w:r>
      <w:r w:rsidRPr="008A1D14">
        <w:t xml:space="preserve"> </w:t>
      </w:r>
      <w:r w:rsidR="00A64C18">
        <w:rPr>
          <w:b/>
        </w:rPr>
        <w:t xml:space="preserve">Please provide only a single grade for the thesis. </w:t>
      </w:r>
      <w:r w:rsidRPr="008A1D14">
        <w:lastRenderedPageBreak/>
        <w:t>Passing grades are A+, A, A-, B+, B, B-, C+</w:t>
      </w:r>
      <w:r>
        <w:t>, C</w:t>
      </w:r>
      <w:r w:rsidRPr="008A1D14">
        <w:t xml:space="preserve"> and C</w:t>
      </w:r>
      <w:r>
        <w:t>-</w:t>
      </w:r>
      <w:r w:rsidRPr="008A1D14">
        <w:t>. Failing grades are D and E</w:t>
      </w:r>
      <w:r>
        <w:t>. Details of the</w:t>
      </w:r>
      <w:r w:rsidR="00E50597">
        <w:t xml:space="preserve"> grading system is provided in T</w:t>
      </w:r>
      <w:r>
        <w:t xml:space="preserve">able 1 below. </w:t>
      </w:r>
    </w:p>
    <w:p w:rsidR="00BE1295" w:rsidRDefault="00BE1295" w:rsidP="00BE1295">
      <w:pPr>
        <w:rPr>
          <w:b/>
          <w:bCs/>
        </w:rPr>
      </w:pPr>
    </w:p>
    <w:p w:rsidR="00E50597" w:rsidRPr="008A1D14" w:rsidRDefault="00BE1295" w:rsidP="00BE1295">
      <w:r w:rsidRPr="008A1D14">
        <w:rPr>
          <w:b/>
          <w:bCs/>
        </w:rPr>
        <w:t xml:space="preserve">How long is taken to write a thesis for Master’s, and are there size restrictions on the thesis? </w:t>
      </w:r>
      <w:r w:rsidRPr="008A1D14">
        <w:t>The time that students are allowed to take to complete a Master’s thesis m</w:t>
      </w:r>
      <w:r>
        <w:t>ay differ according to Faculty, but</w:t>
      </w:r>
      <w:r w:rsidRPr="008A1D14">
        <w:t xml:space="preserve"> is typically between one and two years </w:t>
      </w:r>
      <w:r>
        <w:t xml:space="preserve">of </w:t>
      </w:r>
      <w:r w:rsidRPr="008A1D14">
        <w:t>full-time study. There are no university-wide restrictions on size, though some Departments/Schools impose restrictions, which you should be informed of separately from these notes. Notwithstanding any time or word limits</w:t>
      </w:r>
      <w:r>
        <w:t>, the thesis should compr</w:t>
      </w:r>
      <w:r w:rsidRPr="008A1D14">
        <w:t>ise a body of work which could, in the given discipline, be completed in the equivalent of one full calendar year of</w:t>
      </w:r>
      <w:r w:rsidR="001A52D9">
        <w:t xml:space="preserve"> full-time study (i.e., 1 EFT), unless otherwise notified.</w:t>
      </w:r>
    </w:p>
    <w:p w:rsidR="00BE1295" w:rsidRDefault="00BE1295" w:rsidP="00BE1295">
      <w:pPr>
        <w:rPr>
          <w:b/>
          <w:bCs/>
        </w:rPr>
      </w:pPr>
    </w:p>
    <w:p w:rsidR="00BE1295" w:rsidRPr="008A1D14" w:rsidRDefault="00BE1295" w:rsidP="00BE1295">
      <w:r w:rsidRPr="008A1D14">
        <w:rPr>
          <w:b/>
          <w:bCs/>
        </w:rPr>
        <w:t xml:space="preserve">Will there be an oral examination? </w:t>
      </w:r>
      <w:r>
        <w:t>E</w:t>
      </w:r>
      <w:r w:rsidRPr="008A1D14">
        <w:t>xaminers m</w:t>
      </w:r>
      <w:r>
        <w:t xml:space="preserve">ay recommend that the candidate </w:t>
      </w:r>
      <w:r w:rsidRPr="008A1D14">
        <w:t>attends an oral examination prior to determining the gra</w:t>
      </w:r>
      <w:r>
        <w:t>de to be awarded to the thesis, but this would be a very exceptional situation.</w:t>
      </w:r>
    </w:p>
    <w:p w:rsidR="00BE1295" w:rsidRDefault="00BE1295" w:rsidP="00BE1295">
      <w:pPr>
        <w:rPr>
          <w:b/>
          <w:bCs/>
        </w:rPr>
      </w:pPr>
    </w:p>
    <w:p w:rsidR="00E50597" w:rsidRDefault="00BE1295" w:rsidP="00BE1295">
      <w:pPr>
        <w:rPr>
          <w:bCs/>
        </w:rPr>
      </w:pPr>
      <w:r w:rsidRPr="008A1D14">
        <w:rPr>
          <w:b/>
          <w:bCs/>
        </w:rPr>
        <w:t xml:space="preserve">What happens if the examiners disagree on the result of the examination? </w:t>
      </w:r>
      <w:r w:rsidR="00E50597">
        <w:rPr>
          <w:bCs/>
        </w:rPr>
        <w:t xml:space="preserve">The final grade for a thesis is determined as follows. </w:t>
      </w:r>
    </w:p>
    <w:p w:rsidR="00E50597" w:rsidRPr="00E50597" w:rsidRDefault="00BE1295" w:rsidP="00E50597">
      <w:pPr>
        <w:pStyle w:val="ListParagraph"/>
        <w:numPr>
          <w:ilvl w:val="0"/>
          <w:numId w:val="2"/>
        </w:numPr>
        <w:rPr>
          <w:rFonts w:ascii="Times New Roman" w:hAnsi="Times New Roman"/>
          <w:sz w:val="24"/>
          <w:szCs w:val="24"/>
        </w:rPr>
      </w:pPr>
      <w:r w:rsidRPr="00E50597">
        <w:rPr>
          <w:rFonts w:ascii="Times New Roman" w:hAnsi="Times New Roman"/>
          <w:bCs/>
          <w:sz w:val="24"/>
          <w:szCs w:val="24"/>
        </w:rPr>
        <w:t xml:space="preserve">Where there is a just one grade between the grades recommended by the two examiners the higher grade shall </w:t>
      </w:r>
      <w:r w:rsidR="00E50597">
        <w:rPr>
          <w:rFonts w:ascii="Times New Roman" w:hAnsi="Times New Roman"/>
          <w:bCs/>
          <w:sz w:val="24"/>
          <w:szCs w:val="24"/>
        </w:rPr>
        <w:t xml:space="preserve">normally </w:t>
      </w:r>
      <w:r w:rsidRPr="00E50597">
        <w:rPr>
          <w:rFonts w:ascii="Times New Roman" w:hAnsi="Times New Roman"/>
          <w:bCs/>
          <w:sz w:val="24"/>
          <w:szCs w:val="24"/>
        </w:rPr>
        <w:t xml:space="preserve">be awarded (e.g., if examiner recommendations are a B+ and a B, the student will be awarded a B+). </w:t>
      </w:r>
      <w:r w:rsidR="00E50597">
        <w:rPr>
          <w:rFonts w:ascii="Times New Roman" w:hAnsi="Times New Roman"/>
          <w:bCs/>
          <w:sz w:val="24"/>
          <w:szCs w:val="24"/>
        </w:rPr>
        <w:t>The relevant Department/School Postgraduate Coordinator can apply to the Dean of Postgraduate Research for this normal process not to be followed under exceptional circumstances.</w:t>
      </w:r>
    </w:p>
    <w:p w:rsidR="00E50597" w:rsidRPr="00E50597" w:rsidRDefault="00BE1295" w:rsidP="00E50597">
      <w:pPr>
        <w:pStyle w:val="ListParagraph"/>
        <w:numPr>
          <w:ilvl w:val="0"/>
          <w:numId w:val="2"/>
        </w:numPr>
        <w:rPr>
          <w:rFonts w:ascii="Times New Roman" w:hAnsi="Times New Roman"/>
          <w:sz w:val="24"/>
          <w:szCs w:val="24"/>
        </w:rPr>
      </w:pPr>
      <w:r w:rsidRPr="00E50597">
        <w:rPr>
          <w:rFonts w:ascii="Times New Roman" w:hAnsi="Times New Roman"/>
          <w:bCs/>
          <w:sz w:val="24"/>
          <w:szCs w:val="24"/>
        </w:rPr>
        <w:t xml:space="preserve">Where there is a discrepancy of two grades, the mid-point grade shall be awarded (e.g., if examiner recommendations are a B+ and a B-, the student will be awarded a B). </w:t>
      </w:r>
      <w:r w:rsidR="00E50597">
        <w:rPr>
          <w:rFonts w:ascii="Times New Roman" w:hAnsi="Times New Roman"/>
          <w:bCs/>
          <w:sz w:val="24"/>
          <w:szCs w:val="24"/>
        </w:rPr>
        <w:t>The relevant Department/School Postgraduate Coordinator can apply to the Dean of Postgraduate Research for this normal process not to be followed under exceptional circumstances.</w:t>
      </w:r>
    </w:p>
    <w:p w:rsidR="00BE1295" w:rsidRPr="008B20B6" w:rsidRDefault="008B20B6" w:rsidP="008B20B6">
      <w:pPr>
        <w:pStyle w:val="PlainText"/>
        <w:numPr>
          <w:ilvl w:val="0"/>
          <w:numId w:val="2"/>
        </w:numPr>
        <w:rPr>
          <w:rFonts w:ascii="Times New Roman" w:hAnsi="Times New Roman" w:cs="Times New Roman"/>
          <w:sz w:val="24"/>
          <w:szCs w:val="24"/>
        </w:rPr>
      </w:pPr>
      <w:r w:rsidRPr="008B20B6">
        <w:rPr>
          <w:rFonts w:ascii="Times New Roman" w:hAnsi="Times New Roman" w:cs="Times New Roman"/>
          <w:sz w:val="24"/>
          <w:szCs w:val="24"/>
        </w:rPr>
        <w:t xml:space="preserve">If there is a discrepancy greater than two grades (e.g., a B and an A) the Department/School Postgraduate Coordinator (or in the College of Education the Associate Dean of Postgraduate Studies in Education) will contact the examiners to facilitate a discussion to see if a consensus can   be   reached as to a final recommended grade.  In contacting the examiners the Postgraduate </w:t>
      </w:r>
      <w:proofErr w:type="gramStart"/>
      <w:r w:rsidRPr="008B20B6">
        <w:rPr>
          <w:rFonts w:ascii="Times New Roman" w:hAnsi="Times New Roman" w:cs="Times New Roman"/>
          <w:sz w:val="24"/>
          <w:szCs w:val="24"/>
        </w:rPr>
        <w:t>Coordinator  will</w:t>
      </w:r>
      <w:proofErr w:type="gramEnd"/>
      <w:r w:rsidRPr="008B20B6">
        <w:rPr>
          <w:rFonts w:ascii="Times New Roman" w:hAnsi="Times New Roman" w:cs="Times New Roman"/>
          <w:sz w:val="24"/>
          <w:szCs w:val="24"/>
        </w:rPr>
        <w:t xml:space="preserve"> share  each  examiner's   report with the other. The Postgraduate Coordinator may communicate separately with each examiner, set up a round-table discussion/ conference call, or allow the examiners to discuss the matter between them and report the outcome and rationale to him/her. If, after such discussions, a consensus has not been reached, then an adjudicator will be appointed by the Dean of Postgraduate Research based on recommendation from the relevant Department/School. The Adjudicator will examine the thesis and consider the examiners'   reports, and make a decision which will be final.</w:t>
      </w:r>
    </w:p>
    <w:p w:rsidR="00BE1295" w:rsidRDefault="00BE1295" w:rsidP="00BE1295">
      <w:pPr>
        <w:rPr>
          <w:b/>
          <w:bCs/>
        </w:rPr>
      </w:pPr>
    </w:p>
    <w:p w:rsidR="00BE1295" w:rsidRPr="008A1D14" w:rsidRDefault="00BE1295" w:rsidP="00BE1295">
      <w:r w:rsidRPr="008A1D14">
        <w:rPr>
          <w:b/>
          <w:bCs/>
        </w:rPr>
        <w:t xml:space="preserve">Will the candidate see the examiners’ reports? </w:t>
      </w:r>
      <w:r>
        <w:t xml:space="preserve"> </w:t>
      </w:r>
      <w:r w:rsidR="001A52D9">
        <w:t>Yes</w:t>
      </w:r>
      <w:r>
        <w:t xml:space="preserve">. The student and supervisor are sent </w:t>
      </w:r>
      <w:r w:rsidR="00E50597">
        <w:t xml:space="preserve">a copy of </w:t>
      </w:r>
      <w:r>
        <w:t xml:space="preserve">the </w:t>
      </w:r>
      <w:r w:rsidR="00E50597">
        <w:t xml:space="preserve">examiners’ </w:t>
      </w:r>
      <w:r>
        <w:t xml:space="preserve">reports </w:t>
      </w:r>
      <w:r w:rsidR="00E50597">
        <w:t xml:space="preserve">and recommended grades </w:t>
      </w:r>
      <w:r>
        <w:t>by the Postgraduate Office after final grade determination.</w:t>
      </w:r>
    </w:p>
    <w:p w:rsidR="00BE1295" w:rsidRDefault="00BE1295" w:rsidP="00BE1295">
      <w:pPr>
        <w:rPr>
          <w:b/>
          <w:bCs/>
        </w:rPr>
      </w:pPr>
    </w:p>
    <w:p w:rsidR="00BE1295" w:rsidRPr="008A1D14" w:rsidRDefault="00BE1295" w:rsidP="00BE1295">
      <w:r w:rsidRPr="008A1D14">
        <w:rPr>
          <w:b/>
          <w:bCs/>
        </w:rPr>
        <w:t xml:space="preserve">What can the candidate do if he or she doesn’t agree with the examiners? </w:t>
      </w:r>
      <w:r w:rsidRPr="008A1D14">
        <w:t xml:space="preserve">The examiners’ decision is final, unless the candidate can demonstrate the examination process has been affected by </w:t>
      </w:r>
      <w:r>
        <w:t xml:space="preserve">procedural errors, </w:t>
      </w:r>
      <w:r w:rsidRPr="008A1D14">
        <w:t xml:space="preserve">bias or inappropriate practice. </w:t>
      </w:r>
      <w:r>
        <w:t>A student</w:t>
      </w:r>
      <w:r w:rsidR="00E50597">
        <w:t xml:space="preserve"> who</w:t>
      </w:r>
      <w:r>
        <w:t xml:space="preserve"> believes that there has been such a violation can make an informal academic appeal to the Dean of </w:t>
      </w:r>
      <w:r>
        <w:lastRenderedPageBreak/>
        <w:t>Postgraduate Research. If the student is not satisfied with the response from the Dean, he or she can formally appeal to the University Grievance Advisor.</w:t>
      </w:r>
    </w:p>
    <w:p w:rsidR="00BE1295" w:rsidRDefault="00BE1295" w:rsidP="00BE1295">
      <w:pPr>
        <w:rPr>
          <w:b/>
          <w:bCs/>
        </w:rPr>
      </w:pPr>
    </w:p>
    <w:p w:rsidR="00BE1295" w:rsidRPr="008A1D14" w:rsidRDefault="00BE1295" w:rsidP="00BE1295">
      <w:r w:rsidRPr="008A1D14">
        <w:rPr>
          <w:b/>
          <w:bCs/>
        </w:rPr>
        <w:t xml:space="preserve">The examiners usually retain </w:t>
      </w:r>
      <w:r>
        <w:rPr>
          <w:b/>
          <w:bCs/>
        </w:rPr>
        <w:t xml:space="preserve">their </w:t>
      </w:r>
      <w:r w:rsidRPr="008A1D14">
        <w:rPr>
          <w:b/>
          <w:bCs/>
        </w:rPr>
        <w:t>cop</w:t>
      </w:r>
      <w:r>
        <w:rPr>
          <w:b/>
          <w:bCs/>
        </w:rPr>
        <w:t>ies</w:t>
      </w:r>
      <w:r w:rsidRPr="008A1D14">
        <w:rPr>
          <w:b/>
          <w:bCs/>
        </w:rPr>
        <w:t xml:space="preserve"> of the thesis. </w:t>
      </w:r>
      <w:r w:rsidRPr="008A1D14">
        <w:t>Unless there are special reasons such as highly sensitive/confidential/offensive material i</w:t>
      </w:r>
      <w:r>
        <w:t xml:space="preserve">n the thesis, the examiners are welcome to </w:t>
      </w:r>
      <w:r w:rsidRPr="008A1D14">
        <w:t>keep the cop</w:t>
      </w:r>
      <w:r>
        <w:t>ies</w:t>
      </w:r>
      <w:r w:rsidRPr="008A1D14">
        <w:t xml:space="preserve"> sent for examination</w:t>
      </w:r>
      <w:r>
        <w:t>. They can approach the department to get a revised copy if they so wish.</w:t>
      </w:r>
    </w:p>
    <w:p w:rsidR="00BE1295" w:rsidRDefault="00BE1295" w:rsidP="00BE1295">
      <w:pPr>
        <w:rPr>
          <w:b/>
          <w:bCs/>
        </w:rPr>
      </w:pPr>
    </w:p>
    <w:p w:rsidR="00BE1295" w:rsidRDefault="00BE1295" w:rsidP="00BE1295">
      <w:proofErr w:type="gramStart"/>
      <w:r>
        <w:rPr>
          <w:b/>
          <w:bCs/>
        </w:rPr>
        <w:t xml:space="preserve">Confidentiality and </w:t>
      </w:r>
      <w:r w:rsidRPr="008A1D14">
        <w:rPr>
          <w:b/>
          <w:bCs/>
        </w:rPr>
        <w:t>embargoes.</w:t>
      </w:r>
      <w:proofErr w:type="gramEnd"/>
      <w:r>
        <w:rPr>
          <w:b/>
          <w:bCs/>
        </w:rPr>
        <w:t xml:space="preserve">  </w:t>
      </w:r>
      <w:r w:rsidRPr="00C21F94">
        <w:rPr>
          <w:bCs/>
        </w:rPr>
        <w:t xml:space="preserve">All </w:t>
      </w:r>
      <w:proofErr w:type="spellStart"/>
      <w:r w:rsidRPr="00C21F94">
        <w:rPr>
          <w:bCs/>
        </w:rPr>
        <w:t>theses</w:t>
      </w:r>
      <w:proofErr w:type="spellEnd"/>
      <w:r w:rsidRPr="00C21F94">
        <w:rPr>
          <w:bCs/>
        </w:rPr>
        <w:t xml:space="preserve"> </w:t>
      </w:r>
      <w:r>
        <w:rPr>
          <w:bCs/>
        </w:rPr>
        <w:t>are</w:t>
      </w:r>
      <w:r w:rsidRPr="00C21F94">
        <w:rPr>
          <w:bCs/>
        </w:rPr>
        <w:t xml:space="preserve"> considered</w:t>
      </w:r>
      <w:r>
        <w:rPr>
          <w:bCs/>
        </w:rPr>
        <w:t xml:space="preserve"> to be confidential during the examination process</w:t>
      </w:r>
      <w:r w:rsidRPr="008A1D14">
        <w:t xml:space="preserve">. After examination, theses containing </w:t>
      </w:r>
      <w:r>
        <w:t xml:space="preserve">confidential and/or commercially sensitive </w:t>
      </w:r>
      <w:r w:rsidRPr="008A1D14">
        <w:t xml:space="preserve">material may be embargoed for up to two years. More information on the </w:t>
      </w:r>
      <w:r>
        <w:t>U</w:t>
      </w:r>
      <w:r w:rsidRPr="008A1D14">
        <w:t xml:space="preserve">niversity’s policies on these matters in can be found in the </w:t>
      </w:r>
      <w:r>
        <w:t xml:space="preserve">University’s </w:t>
      </w:r>
      <w:r w:rsidRPr="008A1D14">
        <w:t>Intellectual Property Guide</w:t>
      </w:r>
      <w:r>
        <w:t xml:space="preserve"> (</w:t>
      </w:r>
      <w:hyperlink r:id="rId7" w:history="1">
        <w:r w:rsidRPr="001B048F">
          <w:rPr>
            <w:rStyle w:val="Hyperlink"/>
            <w:rFonts w:eastAsia="Times"/>
          </w:rPr>
          <w:t>http://www.canterbury.ac.nz/ucpolicy/index.aspx</w:t>
        </w:r>
      </w:hyperlink>
      <w:r>
        <w:t xml:space="preserve">). </w:t>
      </w:r>
    </w:p>
    <w:p w:rsidR="00BE1295" w:rsidRDefault="00BE1295" w:rsidP="00BE1295">
      <w:pPr>
        <w:contextualSpacing/>
        <w:rPr>
          <w:b/>
          <w:sz w:val="28"/>
          <w:szCs w:val="28"/>
        </w:rPr>
      </w:pPr>
    </w:p>
    <w:p w:rsidR="00BE1295" w:rsidRPr="007D56F7" w:rsidRDefault="00BE1295" w:rsidP="00BE1295">
      <w:pPr>
        <w:contextualSpacing/>
        <w:rPr>
          <w:b/>
          <w:sz w:val="28"/>
          <w:szCs w:val="28"/>
        </w:rPr>
      </w:pPr>
      <w:r w:rsidRPr="007D56F7">
        <w:rPr>
          <w:b/>
          <w:sz w:val="28"/>
          <w:szCs w:val="28"/>
        </w:rPr>
        <w:t>Grading Guidelines</w:t>
      </w:r>
    </w:p>
    <w:p w:rsidR="00BE1295" w:rsidRPr="007D56F7" w:rsidRDefault="00BE1295" w:rsidP="00BE1295">
      <w:pPr>
        <w:pStyle w:val="level1"/>
        <w:numPr>
          <w:ilvl w:val="0"/>
          <w:numId w:val="1"/>
        </w:numPr>
        <w:tabs>
          <w:tab w:val="clear" w:pos="0"/>
          <w:tab w:val="clear" w:pos="9360"/>
          <w:tab w:val="left" w:pos="360"/>
        </w:tabs>
        <w:ind w:left="360" w:hanging="360"/>
        <w:contextualSpacing/>
        <w:rPr>
          <w:rFonts w:asciiTheme="minorHAnsi" w:hAnsiTheme="minorHAnsi"/>
          <w:color w:val="000000"/>
          <w:sz w:val="22"/>
          <w:szCs w:val="22"/>
          <w:lang w:val="en-US"/>
        </w:rPr>
      </w:pPr>
      <w:r w:rsidRPr="007D56F7">
        <w:rPr>
          <w:rFonts w:asciiTheme="minorHAnsi" w:hAnsiTheme="minorHAnsi"/>
          <w:color w:val="000000"/>
          <w:sz w:val="22"/>
          <w:szCs w:val="22"/>
          <w:lang w:val="en-US"/>
        </w:rPr>
        <w:t xml:space="preserve">Candidates for Masters </w:t>
      </w:r>
      <w:proofErr w:type="gramStart"/>
      <w:r w:rsidRPr="007D56F7">
        <w:rPr>
          <w:rFonts w:asciiTheme="minorHAnsi" w:hAnsiTheme="minorHAnsi"/>
          <w:color w:val="000000"/>
          <w:sz w:val="22"/>
          <w:szCs w:val="22"/>
          <w:lang w:val="en-US"/>
        </w:rPr>
        <w:t>degrees</w:t>
      </w:r>
      <w:proofErr w:type="gramEnd"/>
      <w:r w:rsidRPr="007D56F7">
        <w:rPr>
          <w:rFonts w:asciiTheme="minorHAnsi" w:hAnsiTheme="minorHAnsi"/>
          <w:color w:val="000000"/>
          <w:sz w:val="22"/>
          <w:szCs w:val="22"/>
          <w:lang w:val="en-US"/>
        </w:rPr>
        <w:t xml:space="preserve"> are expected to demonstrat</w:t>
      </w:r>
      <w:r>
        <w:rPr>
          <w:rFonts w:asciiTheme="minorHAnsi" w:hAnsiTheme="minorHAnsi"/>
          <w:color w:val="000000"/>
          <w:sz w:val="22"/>
          <w:szCs w:val="22"/>
          <w:lang w:val="en-US"/>
        </w:rPr>
        <w:t>e</w:t>
      </w:r>
      <w:r w:rsidRPr="007D56F7">
        <w:rPr>
          <w:rFonts w:asciiTheme="minorHAnsi" w:hAnsiTheme="minorHAnsi"/>
          <w:color w:val="000000"/>
          <w:sz w:val="22"/>
          <w:szCs w:val="22"/>
          <w:lang w:val="en-US"/>
        </w:rPr>
        <w:t xml:space="preserve"> critical insight and a capacity to carry out independent research</w:t>
      </w:r>
      <w:r>
        <w:rPr>
          <w:rFonts w:asciiTheme="minorHAnsi" w:hAnsiTheme="minorHAnsi"/>
          <w:color w:val="000000"/>
          <w:sz w:val="22"/>
          <w:szCs w:val="22"/>
          <w:lang w:val="en-US"/>
        </w:rPr>
        <w:t>/scholarship in their chosen discipline</w:t>
      </w:r>
      <w:r w:rsidRPr="007D56F7">
        <w:rPr>
          <w:rFonts w:asciiTheme="minorHAnsi" w:hAnsiTheme="minorHAnsi"/>
          <w:color w:val="000000"/>
          <w:sz w:val="22"/>
          <w:szCs w:val="22"/>
          <w:lang w:val="en-US"/>
        </w:rPr>
        <w:t xml:space="preserve">.  A candidate has succeeded in this when the thesis </w:t>
      </w:r>
      <w:r>
        <w:rPr>
          <w:rFonts w:asciiTheme="minorHAnsi" w:hAnsiTheme="minorHAnsi"/>
          <w:color w:val="000000"/>
          <w:sz w:val="22"/>
          <w:szCs w:val="22"/>
          <w:lang w:val="en-US"/>
        </w:rPr>
        <w:t>demonstrates insight in a critical appraisal of the literature,</w:t>
      </w:r>
      <w:r w:rsidRPr="007D56F7">
        <w:rPr>
          <w:rFonts w:asciiTheme="minorHAnsi" w:hAnsiTheme="minorHAnsi"/>
          <w:color w:val="000000"/>
          <w:sz w:val="22"/>
          <w:szCs w:val="22"/>
          <w:lang w:val="en-US"/>
        </w:rPr>
        <w:t xml:space="preserve"> excellence of presentation,  </w:t>
      </w:r>
      <w:r>
        <w:rPr>
          <w:rFonts w:asciiTheme="minorHAnsi" w:hAnsiTheme="minorHAnsi"/>
          <w:color w:val="000000"/>
          <w:sz w:val="22"/>
          <w:szCs w:val="22"/>
          <w:lang w:val="en-US"/>
        </w:rPr>
        <w:t xml:space="preserve"> appropriate </w:t>
      </w:r>
      <w:r w:rsidRPr="007D56F7">
        <w:rPr>
          <w:rFonts w:asciiTheme="minorHAnsi" w:hAnsiTheme="minorHAnsi"/>
          <w:color w:val="000000"/>
          <w:sz w:val="22"/>
          <w:szCs w:val="22"/>
          <w:lang w:val="en-US"/>
        </w:rPr>
        <w:t xml:space="preserve">analyses, and good integration of the candidate’s work </w:t>
      </w:r>
      <w:r>
        <w:rPr>
          <w:rFonts w:asciiTheme="minorHAnsi" w:hAnsiTheme="minorHAnsi"/>
          <w:color w:val="000000"/>
          <w:sz w:val="22"/>
          <w:szCs w:val="22"/>
          <w:lang w:val="en-US"/>
        </w:rPr>
        <w:t>with prior work in the relevant discipline</w:t>
      </w:r>
      <w:r w:rsidRPr="007D56F7">
        <w:rPr>
          <w:rFonts w:asciiTheme="minorHAnsi" w:hAnsiTheme="minorHAnsi"/>
          <w:color w:val="000000"/>
          <w:sz w:val="22"/>
          <w:szCs w:val="22"/>
          <w:lang w:val="en-US"/>
        </w:rPr>
        <w:t>.</w:t>
      </w:r>
    </w:p>
    <w:p w:rsidR="00BE1295" w:rsidRPr="007D56F7" w:rsidRDefault="00BE1295" w:rsidP="00BE1295">
      <w:pPr>
        <w:contextualSpacing/>
      </w:pPr>
    </w:p>
    <w:p w:rsidR="00BE1295" w:rsidRPr="007D56F7" w:rsidRDefault="00BE1295" w:rsidP="00BE1295">
      <w:pPr>
        <w:pStyle w:val="level1"/>
        <w:numPr>
          <w:ilvl w:val="0"/>
          <w:numId w:val="1"/>
        </w:numPr>
        <w:tabs>
          <w:tab w:val="clear" w:pos="0"/>
          <w:tab w:val="clear" w:pos="9360"/>
          <w:tab w:val="left" w:pos="360"/>
        </w:tabs>
        <w:ind w:left="360" w:hanging="360"/>
        <w:contextualSpacing/>
        <w:rPr>
          <w:rFonts w:asciiTheme="minorHAnsi" w:hAnsiTheme="minorHAnsi"/>
          <w:color w:val="000000"/>
          <w:sz w:val="22"/>
          <w:szCs w:val="22"/>
          <w:lang w:val="en-US"/>
        </w:rPr>
      </w:pPr>
      <w:r w:rsidRPr="007D56F7">
        <w:rPr>
          <w:rFonts w:asciiTheme="minorHAnsi" w:hAnsiTheme="minorHAnsi"/>
          <w:color w:val="000000"/>
          <w:sz w:val="22"/>
          <w:szCs w:val="22"/>
          <w:lang w:val="en-US"/>
        </w:rPr>
        <w:t xml:space="preserve">The thesis should contain a critical review of the literature on the subject.  It should set out clearly the aims and the objectives of the research.  The materials and methods used should be set out in sufficient detail </w:t>
      </w:r>
      <w:r>
        <w:rPr>
          <w:rFonts w:asciiTheme="minorHAnsi" w:hAnsiTheme="minorHAnsi"/>
          <w:color w:val="000000"/>
          <w:sz w:val="22"/>
          <w:szCs w:val="22"/>
          <w:lang w:val="en-US"/>
        </w:rPr>
        <w:t>to meet the standards of the discipline</w:t>
      </w:r>
      <w:r w:rsidRPr="007D56F7">
        <w:rPr>
          <w:rFonts w:asciiTheme="minorHAnsi" w:hAnsiTheme="minorHAnsi"/>
          <w:color w:val="000000"/>
          <w:sz w:val="22"/>
          <w:szCs w:val="22"/>
          <w:lang w:val="en-US"/>
        </w:rPr>
        <w:t>.  Tables, graphs and figures should be well presented, accurate and concise</w:t>
      </w:r>
      <w:r>
        <w:rPr>
          <w:rFonts w:asciiTheme="minorHAnsi" w:hAnsiTheme="minorHAnsi"/>
          <w:color w:val="000000"/>
          <w:sz w:val="22"/>
          <w:szCs w:val="22"/>
          <w:lang w:val="en-US"/>
        </w:rPr>
        <w:t>. S</w:t>
      </w:r>
      <w:r w:rsidRPr="007D56F7">
        <w:rPr>
          <w:rFonts w:asciiTheme="minorHAnsi" w:hAnsiTheme="minorHAnsi"/>
          <w:color w:val="000000"/>
          <w:sz w:val="22"/>
          <w:szCs w:val="22"/>
          <w:lang w:val="en-US"/>
        </w:rPr>
        <w:t xml:space="preserve">uitable techniques </w:t>
      </w:r>
      <w:r>
        <w:rPr>
          <w:rFonts w:asciiTheme="minorHAnsi" w:hAnsiTheme="minorHAnsi"/>
          <w:color w:val="000000"/>
          <w:sz w:val="22"/>
          <w:szCs w:val="22"/>
          <w:lang w:val="en-US"/>
        </w:rPr>
        <w:t xml:space="preserve">should be </w:t>
      </w:r>
      <w:r w:rsidRPr="007D56F7">
        <w:rPr>
          <w:rFonts w:asciiTheme="minorHAnsi" w:hAnsiTheme="minorHAnsi"/>
          <w:color w:val="000000"/>
          <w:sz w:val="22"/>
          <w:szCs w:val="22"/>
          <w:lang w:val="en-US"/>
        </w:rPr>
        <w:t>used to evaluate the result</w:t>
      </w:r>
      <w:r>
        <w:rPr>
          <w:rFonts w:asciiTheme="minorHAnsi" w:hAnsiTheme="minorHAnsi"/>
          <w:color w:val="000000"/>
          <w:sz w:val="22"/>
          <w:szCs w:val="22"/>
          <w:lang w:val="en-US"/>
        </w:rPr>
        <w:t xml:space="preserve">s.  Conclusions should be clear, </w:t>
      </w:r>
      <w:r w:rsidRPr="007D56F7">
        <w:rPr>
          <w:rFonts w:asciiTheme="minorHAnsi" w:hAnsiTheme="minorHAnsi"/>
          <w:color w:val="000000"/>
          <w:sz w:val="22"/>
          <w:szCs w:val="22"/>
          <w:lang w:val="en-US"/>
        </w:rPr>
        <w:t>precise</w:t>
      </w:r>
      <w:r>
        <w:rPr>
          <w:rFonts w:asciiTheme="minorHAnsi" w:hAnsiTheme="minorHAnsi"/>
          <w:color w:val="000000"/>
          <w:sz w:val="22"/>
          <w:szCs w:val="22"/>
          <w:lang w:val="en-US"/>
        </w:rPr>
        <w:t>, comprehensive and well justified</w:t>
      </w:r>
      <w:r w:rsidRPr="007D56F7">
        <w:rPr>
          <w:rFonts w:asciiTheme="minorHAnsi" w:hAnsiTheme="minorHAnsi"/>
          <w:color w:val="000000"/>
          <w:sz w:val="22"/>
          <w:szCs w:val="22"/>
          <w:lang w:val="en-US"/>
        </w:rPr>
        <w:t>.  A final discussion should be included covering previous work, the present results, and further research needs.</w:t>
      </w:r>
    </w:p>
    <w:p w:rsidR="00BE1295" w:rsidRPr="0061385A" w:rsidRDefault="00BE1295" w:rsidP="00BE1295">
      <w:pPr>
        <w:contextualSpacing/>
        <w:rPr>
          <w:sz w:val="8"/>
          <w:szCs w:val="8"/>
        </w:rPr>
      </w:pPr>
    </w:p>
    <w:p w:rsidR="00BE1295" w:rsidRPr="007D56F7" w:rsidRDefault="00BE1295" w:rsidP="00BE1295">
      <w:pPr>
        <w:pStyle w:val="level1"/>
        <w:numPr>
          <w:ilvl w:val="0"/>
          <w:numId w:val="1"/>
        </w:numPr>
        <w:tabs>
          <w:tab w:val="clear" w:pos="0"/>
          <w:tab w:val="clear" w:pos="9360"/>
          <w:tab w:val="left" w:pos="360"/>
        </w:tabs>
        <w:ind w:left="360" w:hanging="360"/>
        <w:contextualSpacing/>
        <w:rPr>
          <w:rFonts w:asciiTheme="minorHAnsi" w:hAnsiTheme="minorHAnsi"/>
          <w:color w:val="000000"/>
          <w:sz w:val="22"/>
          <w:szCs w:val="22"/>
          <w:lang w:val="en-US"/>
        </w:rPr>
      </w:pPr>
      <w:r w:rsidRPr="007D56F7">
        <w:rPr>
          <w:rFonts w:asciiTheme="minorHAnsi" w:hAnsiTheme="minorHAnsi"/>
          <w:color w:val="000000"/>
          <w:sz w:val="22"/>
          <w:szCs w:val="22"/>
          <w:lang w:val="en-US"/>
        </w:rPr>
        <w:t>The thesis should be clear, accurate, cogent, and concise.  It is to be free of ty</w:t>
      </w:r>
      <w:r>
        <w:rPr>
          <w:rFonts w:asciiTheme="minorHAnsi" w:hAnsiTheme="minorHAnsi"/>
          <w:color w:val="000000"/>
          <w:sz w:val="22"/>
          <w:szCs w:val="22"/>
          <w:lang w:val="en-US"/>
        </w:rPr>
        <w:t>pographical, spelling and grammatical errors.</w:t>
      </w:r>
    </w:p>
    <w:p w:rsidR="00BE1295" w:rsidRPr="0061385A" w:rsidRDefault="00BE1295" w:rsidP="00BE1295">
      <w:pPr>
        <w:contextualSpacing/>
        <w:rPr>
          <w:sz w:val="8"/>
          <w:szCs w:val="8"/>
        </w:rPr>
      </w:pPr>
    </w:p>
    <w:p w:rsidR="00BE1295" w:rsidRPr="007D56F7" w:rsidRDefault="00BE1295" w:rsidP="00BE1295">
      <w:pPr>
        <w:pStyle w:val="level1"/>
        <w:numPr>
          <w:ilvl w:val="0"/>
          <w:numId w:val="1"/>
        </w:numPr>
        <w:tabs>
          <w:tab w:val="clear" w:pos="0"/>
          <w:tab w:val="clear" w:pos="9360"/>
          <w:tab w:val="left" w:pos="360"/>
        </w:tabs>
        <w:ind w:left="360" w:hanging="360"/>
        <w:contextualSpacing/>
        <w:rPr>
          <w:rFonts w:asciiTheme="minorHAnsi" w:hAnsiTheme="minorHAnsi"/>
          <w:color w:val="000000"/>
          <w:sz w:val="22"/>
          <w:szCs w:val="22"/>
          <w:lang w:val="en-US"/>
        </w:rPr>
      </w:pPr>
      <w:proofErr w:type="gramStart"/>
      <w:r>
        <w:rPr>
          <w:rFonts w:asciiTheme="minorHAnsi" w:hAnsiTheme="minorHAnsi"/>
          <w:color w:val="000000"/>
          <w:sz w:val="22"/>
          <w:szCs w:val="22"/>
          <w:lang w:val="en-US"/>
        </w:rPr>
        <w:t xml:space="preserve">Relevant </w:t>
      </w:r>
      <w:r w:rsidRPr="007D56F7">
        <w:rPr>
          <w:rFonts w:asciiTheme="minorHAnsi" w:hAnsiTheme="minorHAnsi"/>
          <w:color w:val="000000"/>
          <w:sz w:val="22"/>
          <w:szCs w:val="22"/>
          <w:lang w:val="en-US"/>
        </w:rPr>
        <w:t xml:space="preserve"> work</w:t>
      </w:r>
      <w:proofErr w:type="gramEnd"/>
      <w:r w:rsidRPr="007D56F7">
        <w:rPr>
          <w:rFonts w:asciiTheme="minorHAnsi" w:hAnsiTheme="minorHAnsi"/>
          <w:color w:val="000000"/>
          <w:sz w:val="22"/>
          <w:szCs w:val="22"/>
          <w:lang w:val="en-US"/>
        </w:rPr>
        <w:t xml:space="preserve"> </w:t>
      </w:r>
      <w:r>
        <w:rPr>
          <w:rFonts w:asciiTheme="minorHAnsi" w:hAnsiTheme="minorHAnsi"/>
          <w:color w:val="000000"/>
          <w:sz w:val="22"/>
          <w:szCs w:val="22"/>
          <w:lang w:val="en-US"/>
        </w:rPr>
        <w:t xml:space="preserve">by previous researchers </w:t>
      </w:r>
      <w:r w:rsidRPr="007D56F7">
        <w:rPr>
          <w:rFonts w:asciiTheme="minorHAnsi" w:hAnsiTheme="minorHAnsi"/>
          <w:color w:val="000000"/>
          <w:sz w:val="22"/>
          <w:szCs w:val="22"/>
          <w:lang w:val="en-US"/>
        </w:rPr>
        <w:t xml:space="preserve">should be suitably documented and citations </w:t>
      </w:r>
      <w:r>
        <w:rPr>
          <w:rFonts w:asciiTheme="minorHAnsi" w:hAnsiTheme="minorHAnsi"/>
          <w:color w:val="000000"/>
          <w:sz w:val="22"/>
          <w:szCs w:val="22"/>
          <w:lang w:val="en-US"/>
        </w:rPr>
        <w:t>should be consistent and correct in every detail and comply with the conventions of the discipline.</w:t>
      </w:r>
    </w:p>
    <w:p w:rsidR="00BE1295" w:rsidRPr="0061385A" w:rsidRDefault="00BE1295" w:rsidP="00BE1295">
      <w:pPr>
        <w:pStyle w:val="level1"/>
        <w:tabs>
          <w:tab w:val="clear" w:pos="0"/>
          <w:tab w:val="clear" w:pos="9360"/>
          <w:tab w:val="left" w:pos="360"/>
        </w:tabs>
        <w:ind w:firstLine="0"/>
        <w:contextualSpacing/>
        <w:rPr>
          <w:rFonts w:asciiTheme="minorHAnsi" w:hAnsiTheme="minorHAnsi"/>
          <w:color w:val="000000"/>
          <w:sz w:val="8"/>
          <w:szCs w:val="8"/>
          <w:lang w:val="en-US"/>
        </w:rPr>
      </w:pPr>
    </w:p>
    <w:p w:rsidR="00BE1295" w:rsidRPr="007D56F7" w:rsidRDefault="00BE1295" w:rsidP="00BE1295">
      <w:pPr>
        <w:pStyle w:val="level1"/>
        <w:numPr>
          <w:ilvl w:val="0"/>
          <w:numId w:val="1"/>
        </w:numPr>
        <w:tabs>
          <w:tab w:val="clear" w:pos="0"/>
          <w:tab w:val="clear" w:pos="9360"/>
          <w:tab w:val="left" w:pos="360"/>
        </w:tabs>
        <w:ind w:left="360" w:hanging="360"/>
        <w:contextualSpacing/>
        <w:rPr>
          <w:rFonts w:asciiTheme="minorHAnsi" w:hAnsiTheme="minorHAnsi"/>
          <w:color w:val="000000"/>
          <w:sz w:val="22"/>
          <w:szCs w:val="22"/>
          <w:lang w:val="en-US"/>
        </w:rPr>
      </w:pPr>
      <w:r w:rsidRPr="007D56F7">
        <w:rPr>
          <w:rFonts w:asciiTheme="minorHAnsi" w:hAnsiTheme="minorHAnsi"/>
          <w:color w:val="000000"/>
          <w:sz w:val="22"/>
          <w:szCs w:val="22"/>
          <w:lang w:val="en-US"/>
        </w:rPr>
        <w:t xml:space="preserve">Examiners will </w:t>
      </w:r>
      <w:r>
        <w:rPr>
          <w:rFonts w:asciiTheme="minorHAnsi" w:hAnsiTheme="minorHAnsi"/>
          <w:color w:val="000000"/>
          <w:sz w:val="22"/>
          <w:szCs w:val="22"/>
          <w:lang w:val="en-US"/>
        </w:rPr>
        <w:t xml:space="preserve">evaluate the thesis as a whole rather than giving specific weighting to different aspects of the thesis. </w:t>
      </w:r>
    </w:p>
    <w:p w:rsidR="00BE1295" w:rsidRPr="0061385A" w:rsidRDefault="00BE1295" w:rsidP="00BE1295">
      <w:pPr>
        <w:pStyle w:val="level1"/>
        <w:tabs>
          <w:tab w:val="clear" w:pos="0"/>
          <w:tab w:val="clear" w:pos="9360"/>
          <w:tab w:val="left" w:pos="360"/>
        </w:tabs>
        <w:ind w:firstLine="0"/>
        <w:contextualSpacing/>
        <w:rPr>
          <w:rFonts w:asciiTheme="minorHAnsi" w:hAnsiTheme="minorHAnsi"/>
          <w:color w:val="000000"/>
          <w:sz w:val="8"/>
          <w:szCs w:val="8"/>
          <w:lang w:val="en-US"/>
        </w:rPr>
      </w:pPr>
    </w:p>
    <w:p w:rsidR="00BE1295" w:rsidRDefault="00BE1295" w:rsidP="00BE1295">
      <w:pPr>
        <w:pStyle w:val="level1"/>
        <w:numPr>
          <w:ilvl w:val="0"/>
          <w:numId w:val="1"/>
        </w:numPr>
        <w:tabs>
          <w:tab w:val="clear" w:pos="0"/>
          <w:tab w:val="clear" w:pos="9360"/>
          <w:tab w:val="left" w:pos="360"/>
        </w:tabs>
        <w:ind w:left="360" w:hanging="360"/>
        <w:contextualSpacing/>
        <w:rPr>
          <w:rFonts w:asciiTheme="minorHAnsi" w:hAnsiTheme="minorHAnsi"/>
          <w:color w:val="000000"/>
          <w:sz w:val="22"/>
          <w:szCs w:val="22"/>
          <w:lang w:val="en-US"/>
        </w:rPr>
      </w:pPr>
      <w:r w:rsidRPr="007D56F7">
        <w:rPr>
          <w:rFonts w:asciiTheme="minorHAnsi" w:hAnsiTheme="minorHAnsi"/>
          <w:color w:val="000000"/>
          <w:sz w:val="22"/>
          <w:szCs w:val="22"/>
          <w:lang w:val="en-US"/>
        </w:rPr>
        <w:t xml:space="preserve">Written presentation will be of secondary importance although poor presentation </w:t>
      </w:r>
      <w:r>
        <w:rPr>
          <w:rFonts w:asciiTheme="minorHAnsi" w:hAnsiTheme="minorHAnsi"/>
          <w:color w:val="000000"/>
          <w:sz w:val="22"/>
          <w:szCs w:val="22"/>
          <w:lang w:val="en-US"/>
        </w:rPr>
        <w:t>may</w:t>
      </w:r>
      <w:r w:rsidRPr="007D56F7">
        <w:rPr>
          <w:rFonts w:asciiTheme="minorHAnsi" w:hAnsiTheme="minorHAnsi"/>
          <w:color w:val="000000"/>
          <w:sz w:val="22"/>
          <w:szCs w:val="22"/>
          <w:lang w:val="en-US"/>
        </w:rPr>
        <w:t xml:space="preserve"> result in a lower grade.  </w:t>
      </w:r>
    </w:p>
    <w:p w:rsidR="00BE1295" w:rsidRPr="0061385A" w:rsidRDefault="00BE1295" w:rsidP="00BE1295">
      <w:pPr>
        <w:pStyle w:val="ListParagraph"/>
        <w:rPr>
          <w:rFonts w:asciiTheme="minorHAnsi" w:hAnsiTheme="minorHAnsi"/>
          <w:color w:val="000000"/>
          <w:sz w:val="8"/>
          <w:szCs w:val="8"/>
          <w:lang w:val="en-US"/>
        </w:rPr>
      </w:pPr>
    </w:p>
    <w:p w:rsidR="00BE1295" w:rsidRPr="00F471C7" w:rsidRDefault="00BE1295" w:rsidP="00BE1295">
      <w:pPr>
        <w:pStyle w:val="level1"/>
        <w:numPr>
          <w:ilvl w:val="0"/>
          <w:numId w:val="1"/>
        </w:numPr>
        <w:tabs>
          <w:tab w:val="clear" w:pos="0"/>
          <w:tab w:val="clear" w:pos="9360"/>
          <w:tab w:val="left" w:pos="360"/>
        </w:tabs>
        <w:ind w:left="360" w:hanging="360"/>
        <w:contextualSpacing/>
        <w:rPr>
          <w:rFonts w:asciiTheme="minorHAnsi" w:hAnsiTheme="minorHAnsi"/>
          <w:color w:val="000000"/>
          <w:sz w:val="22"/>
          <w:szCs w:val="22"/>
          <w:lang w:val="en-US"/>
        </w:rPr>
      </w:pPr>
      <w:r w:rsidRPr="00F471C7">
        <w:rPr>
          <w:rFonts w:asciiTheme="minorHAnsi" w:hAnsiTheme="minorHAnsi"/>
          <w:color w:val="000000"/>
          <w:sz w:val="22"/>
          <w:szCs w:val="22"/>
          <w:lang w:val="en-US"/>
        </w:rPr>
        <w:t xml:space="preserve">Having assessed a thesis, an examiner will allocate a grade in accordance with the criteria in Table 1. </w:t>
      </w:r>
    </w:p>
    <w:p w:rsidR="00BE1295" w:rsidRPr="00F471C7" w:rsidRDefault="00BE1295" w:rsidP="00BE1295">
      <w:pPr>
        <w:pStyle w:val="ListParagraph"/>
        <w:rPr>
          <w:b/>
          <w:sz w:val="16"/>
          <w:szCs w:val="16"/>
        </w:rPr>
      </w:pPr>
    </w:p>
    <w:p w:rsidR="00AA7606" w:rsidRDefault="00AA7606">
      <w:pPr>
        <w:spacing w:after="200" w:line="276" w:lineRule="auto"/>
        <w:rPr>
          <w:b/>
          <w:sz w:val="28"/>
          <w:szCs w:val="28"/>
          <w:lang w:eastAsia="en-GB"/>
        </w:rPr>
      </w:pPr>
      <w:r>
        <w:rPr>
          <w:b/>
          <w:sz w:val="28"/>
          <w:szCs w:val="28"/>
        </w:rPr>
        <w:br w:type="page"/>
      </w:r>
    </w:p>
    <w:p w:rsidR="00BE1295" w:rsidRPr="007D56F7" w:rsidRDefault="00BE1295" w:rsidP="00BE1295">
      <w:pPr>
        <w:pStyle w:val="level1"/>
        <w:tabs>
          <w:tab w:val="clear" w:pos="0"/>
          <w:tab w:val="clear" w:pos="9360"/>
          <w:tab w:val="left" w:pos="-1440"/>
          <w:tab w:val="left" w:pos="360"/>
        </w:tabs>
        <w:contextualSpacing/>
        <w:rPr>
          <w:b/>
          <w:sz w:val="28"/>
          <w:szCs w:val="28"/>
        </w:rPr>
      </w:pPr>
      <w:r w:rsidRPr="007D56F7">
        <w:rPr>
          <w:b/>
          <w:sz w:val="28"/>
          <w:szCs w:val="28"/>
        </w:rPr>
        <w:lastRenderedPageBreak/>
        <w:t>Table 1</w:t>
      </w:r>
      <w:r>
        <w:rPr>
          <w:b/>
          <w:sz w:val="28"/>
          <w:szCs w:val="28"/>
        </w:rPr>
        <w:t xml:space="preserve">: </w:t>
      </w:r>
      <w:r w:rsidRPr="007D56F7">
        <w:rPr>
          <w:b/>
          <w:sz w:val="28"/>
          <w:szCs w:val="28"/>
        </w:rPr>
        <w:t>Criterion-Based Grading</w:t>
      </w:r>
    </w:p>
    <w:p w:rsidR="00BE1295" w:rsidRDefault="00BE1295" w:rsidP="00BE1295">
      <w:pPr>
        <w:jc w:val="both"/>
        <w:rPr>
          <w:rFonts w:cs="Arial"/>
        </w:rPr>
      </w:pPr>
      <w:r w:rsidRPr="000475BF">
        <w:rPr>
          <w:rFonts w:cs="Arial"/>
        </w:rPr>
        <w:t>Letter grades are required for examinations at the University of Canterbury (A+, A, A</w:t>
      </w:r>
      <w:r>
        <w:rPr>
          <w:rFonts w:cs="Arial"/>
        </w:rPr>
        <w:t xml:space="preserve">, B+, B, B-, C+, C, </w:t>
      </w:r>
      <w:proofErr w:type="gramStart"/>
      <w:r>
        <w:rPr>
          <w:rFonts w:cs="Arial"/>
        </w:rPr>
        <w:t>C</w:t>
      </w:r>
      <w:proofErr w:type="gramEnd"/>
      <w:r>
        <w:rPr>
          <w:rFonts w:cs="Arial"/>
        </w:rPr>
        <w:t>- D, E).</w:t>
      </w:r>
    </w:p>
    <w:p w:rsidR="00BE1295" w:rsidRPr="00037068" w:rsidRDefault="00BE1295" w:rsidP="00BE1295">
      <w:pPr>
        <w:jc w:val="both"/>
        <w:rPr>
          <w:rFonts w:cs="Arial"/>
          <w:b/>
          <w:sz w:val="6"/>
          <w:szCs w:val="6"/>
        </w:rPr>
      </w:pPr>
    </w:p>
    <w:tbl>
      <w:tblPr>
        <w:tblStyle w:val="TableGrid"/>
        <w:tblW w:w="0" w:type="auto"/>
        <w:tblInd w:w="250" w:type="dxa"/>
        <w:tblLook w:val="01E0"/>
      </w:tblPr>
      <w:tblGrid>
        <w:gridCol w:w="1134"/>
        <w:gridCol w:w="1842"/>
        <w:gridCol w:w="5165"/>
      </w:tblGrid>
      <w:tr w:rsidR="00BE1295" w:rsidRPr="000475BF" w:rsidTr="00A905EE">
        <w:trPr>
          <w:trHeight w:val="772"/>
        </w:trPr>
        <w:tc>
          <w:tcPr>
            <w:tcW w:w="1134" w:type="dxa"/>
          </w:tcPr>
          <w:p w:rsidR="00BE1295" w:rsidRDefault="00BE1295" w:rsidP="00A905EE">
            <w:pPr>
              <w:jc w:val="center"/>
              <w:rPr>
                <w:rFonts w:asciiTheme="minorHAnsi" w:hAnsiTheme="minorHAnsi" w:cs="Arial"/>
                <w:b/>
                <w:sz w:val="22"/>
                <w:szCs w:val="22"/>
              </w:rPr>
            </w:pPr>
          </w:p>
          <w:p w:rsidR="00BE1295" w:rsidRPr="000475BF" w:rsidRDefault="00BE1295" w:rsidP="00A905EE">
            <w:pPr>
              <w:jc w:val="center"/>
              <w:rPr>
                <w:rFonts w:asciiTheme="minorHAnsi" w:hAnsiTheme="minorHAnsi" w:cs="Arial"/>
                <w:b/>
                <w:sz w:val="22"/>
                <w:szCs w:val="22"/>
              </w:rPr>
            </w:pPr>
            <w:r w:rsidRPr="000475BF">
              <w:rPr>
                <w:rFonts w:asciiTheme="minorHAnsi" w:hAnsiTheme="minorHAnsi" w:cs="Arial"/>
                <w:b/>
                <w:sz w:val="22"/>
                <w:szCs w:val="22"/>
              </w:rPr>
              <w:t>A+</w:t>
            </w:r>
          </w:p>
        </w:tc>
        <w:tc>
          <w:tcPr>
            <w:tcW w:w="1842" w:type="dxa"/>
          </w:tcPr>
          <w:p w:rsidR="00BE1295" w:rsidRDefault="00BE1295" w:rsidP="00A905EE">
            <w:pPr>
              <w:autoSpaceDE w:val="0"/>
              <w:autoSpaceDN w:val="0"/>
              <w:adjustRightInd w:val="0"/>
              <w:rPr>
                <w:rFonts w:asciiTheme="minorHAnsi" w:hAnsiTheme="minorHAnsi" w:cs="Calibri"/>
                <w:sz w:val="22"/>
                <w:szCs w:val="22"/>
                <w:lang w:val="en-US"/>
              </w:rPr>
            </w:pPr>
          </w:p>
          <w:p w:rsidR="00BE1295" w:rsidRPr="000475BF" w:rsidRDefault="00BE1295" w:rsidP="00A905EE">
            <w:pPr>
              <w:autoSpaceDE w:val="0"/>
              <w:autoSpaceDN w:val="0"/>
              <w:adjustRightInd w:val="0"/>
              <w:rPr>
                <w:rFonts w:asciiTheme="minorHAnsi" w:hAnsiTheme="minorHAnsi" w:cs="Calibri"/>
                <w:sz w:val="22"/>
                <w:szCs w:val="22"/>
                <w:lang w:val="en-US"/>
              </w:rPr>
            </w:pPr>
            <w:r w:rsidRPr="000475BF">
              <w:rPr>
                <w:rFonts w:asciiTheme="minorHAnsi" w:hAnsiTheme="minorHAnsi" w:cs="Calibri"/>
                <w:sz w:val="22"/>
                <w:szCs w:val="22"/>
                <w:lang w:val="en-US"/>
              </w:rPr>
              <w:t>Exceptionally high  performance</w:t>
            </w:r>
          </w:p>
        </w:tc>
        <w:tc>
          <w:tcPr>
            <w:tcW w:w="5165" w:type="dxa"/>
            <w:vMerge w:val="restart"/>
          </w:tcPr>
          <w:p w:rsidR="00BE1295" w:rsidRDefault="00BE1295" w:rsidP="00A905EE">
            <w:pPr>
              <w:autoSpaceDE w:val="0"/>
              <w:autoSpaceDN w:val="0"/>
              <w:adjustRightInd w:val="0"/>
              <w:rPr>
                <w:rFonts w:asciiTheme="minorHAnsi" w:hAnsiTheme="minorHAnsi" w:cs="Calibri"/>
                <w:sz w:val="22"/>
                <w:szCs w:val="22"/>
                <w:lang w:val="en-US"/>
              </w:rPr>
            </w:pPr>
          </w:p>
          <w:p w:rsidR="00BE1295" w:rsidRPr="000475BF" w:rsidRDefault="00BE1295" w:rsidP="00A905EE">
            <w:pPr>
              <w:autoSpaceDE w:val="0"/>
              <w:autoSpaceDN w:val="0"/>
              <w:adjustRightInd w:val="0"/>
              <w:rPr>
                <w:rFonts w:asciiTheme="minorHAnsi" w:hAnsiTheme="minorHAnsi" w:cs="Calibri"/>
                <w:sz w:val="22"/>
                <w:szCs w:val="22"/>
                <w:lang w:val="en-US"/>
              </w:rPr>
            </w:pPr>
            <w:r w:rsidRPr="000475BF">
              <w:rPr>
                <w:rFonts w:asciiTheme="minorHAnsi" w:hAnsiTheme="minorHAnsi" w:cs="Calibri"/>
                <w:sz w:val="22"/>
                <w:szCs w:val="22"/>
                <w:lang w:val="en-US"/>
              </w:rPr>
              <w:t>Well structured and integrated research plan. Well</w:t>
            </w:r>
          </w:p>
          <w:p w:rsidR="00BE1295" w:rsidRPr="000475BF" w:rsidRDefault="00BE1295" w:rsidP="00A905EE">
            <w:pPr>
              <w:autoSpaceDE w:val="0"/>
              <w:autoSpaceDN w:val="0"/>
              <w:adjustRightInd w:val="0"/>
              <w:rPr>
                <w:rFonts w:asciiTheme="minorHAnsi" w:hAnsiTheme="minorHAnsi" w:cs="Calibri"/>
                <w:sz w:val="22"/>
                <w:szCs w:val="22"/>
                <w:lang w:val="en-US"/>
              </w:rPr>
            </w:pPr>
            <w:r w:rsidRPr="000475BF">
              <w:rPr>
                <w:rFonts w:asciiTheme="minorHAnsi" w:hAnsiTheme="minorHAnsi" w:cs="Calibri"/>
                <w:sz w:val="22"/>
                <w:szCs w:val="22"/>
                <w:lang w:val="en-US"/>
              </w:rPr>
              <w:t>formulated research questions and appropriate</w:t>
            </w:r>
          </w:p>
          <w:p w:rsidR="00BE1295" w:rsidRDefault="00BE1295" w:rsidP="00A905EE">
            <w:pPr>
              <w:autoSpaceDE w:val="0"/>
              <w:autoSpaceDN w:val="0"/>
              <w:adjustRightInd w:val="0"/>
              <w:rPr>
                <w:rFonts w:asciiTheme="minorHAnsi" w:hAnsiTheme="minorHAnsi" w:cs="Calibri"/>
                <w:sz w:val="22"/>
                <w:szCs w:val="22"/>
                <w:lang w:val="en-US"/>
              </w:rPr>
            </w:pPr>
            <w:proofErr w:type="gramStart"/>
            <w:r w:rsidRPr="000475BF">
              <w:rPr>
                <w:rFonts w:asciiTheme="minorHAnsi" w:hAnsiTheme="minorHAnsi" w:cs="Calibri"/>
                <w:sz w:val="22"/>
                <w:szCs w:val="22"/>
                <w:lang w:val="en-US"/>
              </w:rPr>
              <w:t>investigative</w:t>
            </w:r>
            <w:proofErr w:type="gramEnd"/>
            <w:r w:rsidRPr="000475BF">
              <w:rPr>
                <w:rFonts w:asciiTheme="minorHAnsi" w:hAnsiTheme="minorHAnsi" w:cs="Calibri"/>
                <w:sz w:val="22"/>
                <w:szCs w:val="22"/>
                <w:lang w:val="en-US"/>
              </w:rPr>
              <w:t xml:space="preserve"> methodology. Excellent knowledge and</w:t>
            </w:r>
            <w:r>
              <w:rPr>
                <w:rFonts w:asciiTheme="minorHAnsi" w:hAnsiTheme="minorHAnsi" w:cs="Calibri"/>
                <w:sz w:val="22"/>
                <w:szCs w:val="22"/>
                <w:lang w:val="en-US"/>
              </w:rPr>
              <w:t xml:space="preserve"> </w:t>
            </w:r>
            <w:r w:rsidRPr="000475BF">
              <w:rPr>
                <w:rFonts w:asciiTheme="minorHAnsi" w:hAnsiTheme="minorHAnsi" w:cs="Calibri"/>
                <w:sz w:val="22"/>
                <w:szCs w:val="22"/>
                <w:lang w:val="en-US"/>
              </w:rPr>
              <w:t>understanding of su</w:t>
            </w:r>
            <w:r>
              <w:rPr>
                <w:rFonts w:asciiTheme="minorHAnsi" w:hAnsiTheme="minorHAnsi" w:cs="Calibri"/>
                <w:sz w:val="22"/>
                <w:szCs w:val="22"/>
                <w:lang w:val="en-US"/>
              </w:rPr>
              <w:t xml:space="preserve">bject. Appropriate original data/materials </w:t>
            </w:r>
            <w:r w:rsidRPr="000475BF">
              <w:rPr>
                <w:rFonts w:asciiTheme="minorHAnsi" w:hAnsiTheme="minorHAnsi" w:cs="Calibri"/>
                <w:sz w:val="22"/>
                <w:szCs w:val="22"/>
                <w:lang w:val="en-US"/>
              </w:rPr>
              <w:t>collected (if applicable) and rigorous and critical data</w:t>
            </w:r>
            <w:r>
              <w:rPr>
                <w:rFonts w:asciiTheme="minorHAnsi" w:hAnsiTheme="minorHAnsi" w:cs="Calibri"/>
                <w:sz w:val="22"/>
                <w:szCs w:val="22"/>
                <w:lang w:val="en-US"/>
              </w:rPr>
              <w:t xml:space="preserve"> </w:t>
            </w:r>
            <w:r w:rsidRPr="000475BF">
              <w:rPr>
                <w:rFonts w:asciiTheme="minorHAnsi" w:hAnsiTheme="minorHAnsi" w:cs="Calibri"/>
                <w:sz w:val="22"/>
                <w:szCs w:val="22"/>
                <w:lang w:val="en-US"/>
              </w:rPr>
              <w:t>analysis. Clear understanding of significance of the</w:t>
            </w:r>
            <w:r>
              <w:rPr>
                <w:rFonts w:asciiTheme="minorHAnsi" w:hAnsiTheme="minorHAnsi" w:cs="Calibri"/>
                <w:sz w:val="22"/>
                <w:szCs w:val="22"/>
                <w:lang w:val="en-US"/>
              </w:rPr>
              <w:t xml:space="preserve"> </w:t>
            </w:r>
            <w:r w:rsidRPr="000475BF">
              <w:rPr>
                <w:rFonts w:asciiTheme="minorHAnsi" w:hAnsiTheme="minorHAnsi" w:cs="Calibri"/>
                <w:sz w:val="22"/>
                <w:szCs w:val="22"/>
                <w:lang w:val="en-US"/>
              </w:rPr>
              <w:t>data/evidence. High level of original and critical thinking.</w:t>
            </w:r>
            <w:r>
              <w:rPr>
                <w:rFonts w:asciiTheme="minorHAnsi" w:hAnsiTheme="minorHAnsi" w:cs="Calibri"/>
                <w:sz w:val="22"/>
                <w:szCs w:val="22"/>
                <w:lang w:val="en-US"/>
              </w:rPr>
              <w:t xml:space="preserve"> </w:t>
            </w:r>
            <w:r w:rsidRPr="000475BF">
              <w:rPr>
                <w:rFonts w:asciiTheme="minorHAnsi" w:hAnsiTheme="minorHAnsi" w:cs="Calibri"/>
                <w:sz w:val="22"/>
                <w:szCs w:val="22"/>
                <w:lang w:val="en-US"/>
              </w:rPr>
              <w:t>Arguments presented logically and coherently.</w:t>
            </w:r>
            <w:r>
              <w:rPr>
                <w:rFonts w:asciiTheme="minorHAnsi" w:hAnsiTheme="minorHAnsi" w:cs="Calibri"/>
                <w:sz w:val="22"/>
                <w:szCs w:val="22"/>
                <w:lang w:val="en-US"/>
              </w:rPr>
              <w:t xml:space="preserve"> </w:t>
            </w:r>
            <w:r w:rsidRPr="000475BF">
              <w:rPr>
                <w:rFonts w:asciiTheme="minorHAnsi" w:hAnsiTheme="minorHAnsi" w:cs="Calibri"/>
                <w:sz w:val="22"/>
                <w:szCs w:val="22"/>
                <w:lang w:val="en-US"/>
              </w:rPr>
              <w:t>Conclusions comprehensive and well justified. Thesis</w:t>
            </w:r>
            <w:r>
              <w:rPr>
                <w:rFonts w:asciiTheme="minorHAnsi" w:hAnsiTheme="minorHAnsi" w:cs="Calibri"/>
                <w:sz w:val="22"/>
                <w:szCs w:val="22"/>
                <w:lang w:val="en-US"/>
              </w:rPr>
              <w:t xml:space="preserve"> </w:t>
            </w:r>
            <w:r w:rsidRPr="000475BF">
              <w:rPr>
                <w:rFonts w:asciiTheme="minorHAnsi" w:hAnsiTheme="minorHAnsi" w:cs="Calibri"/>
                <w:sz w:val="22"/>
                <w:szCs w:val="22"/>
                <w:lang w:val="en-US"/>
              </w:rPr>
              <w:t>well constructed and appropriately illustrated.</w:t>
            </w:r>
          </w:p>
          <w:p w:rsidR="00BE1295" w:rsidRPr="000475BF" w:rsidRDefault="00BE1295" w:rsidP="00A905EE">
            <w:pPr>
              <w:jc w:val="both"/>
              <w:rPr>
                <w:rFonts w:asciiTheme="minorHAnsi" w:hAnsiTheme="minorHAnsi" w:cs="Arial"/>
                <w:sz w:val="22"/>
                <w:szCs w:val="22"/>
              </w:rPr>
            </w:pPr>
          </w:p>
        </w:tc>
      </w:tr>
      <w:tr w:rsidR="00BE1295" w:rsidRPr="000475BF" w:rsidTr="00A905EE">
        <w:trPr>
          <w:trHeight w:val="772"/>
        </w:trPr>
        <w:tc>
          <w:tcPr>
            <w:tcW w:w="1134" w:type="dxa"/>
          </w:tcPr>
          <w:p w:rsidR="00BE1295" w:rsidRDefault="00BE1295" w:rsidP="00A905EE">
            <w:pPr>
              <w:jc w:val="center"/>
              <w:rPr>
                <w:rFonts w:asciiTheme="minorHAnsi" w:hAnsiTheme="minorHAnsi" w:cs="Arial"/>
                <w:b/>
                <w:sz w:val="22"/>
                <w:szCs w:val="22"/>
              </w:rPr>
            </w:pPr>
          </w:p>
          <w:p w:rsidR="00BE1295" w:rsidRPr="000475BF" w:rsidRDefault="00BE1295" w:rsidP="00A905EE">
            <w:pPr>
              <w:jc w:val="center"/>
              <w:rPr>
                <w:rFonts w:asciiTheme="minorHAnsi" w:hAnsiTheme="minorHAnsi" w:cs="Arial"/>
                <w:b/>
                <w:sz w:val="22"/>
                <w:szCs w:val="22"/>
              </w:rPr>
            </w:pPr>
            <w:r w:rsidRPr="000475BF">
              <w:rPr>
                <w:rFonts w:asciiTheme="minorHAnsi" w:hAnsiTheme="minorHAnsi" w:cs="Arial"/>
                <w:b/>
                <w:sz w:val="22"/>
                <w:szCs w:val="22"/>
              </w:rPr>
              <w:t>A</w:t>
            </w:r>
          </w:p>
        </w:tc>
        <w:tc>
          <w:tcPr>
            <w:tcW w:w="1842" w:type="dxa"/>
          </w:tcPr>
          <w:p w:rsidR="00BE1295" w:rsidRDefault="00BE1295" w:rsidP="00A905EE">
            <w:pPr>
              <w:autoSpaceDE w:val="0"/>
              <w:autoSpaceDN w:val="0"/>
              <w:adjustRightInd w:val="0"/>
              <w:rPr>
                <w:rFonts w:asciiTheme="minorHAnsi" w:hAnsiTheme="minorHAnsi" w:cs="Calibri"/>
                <w:sz w:val="22"/>
                <w:szCs w:val="22"/>
                <w:lang w:val="en-US"/>
              </w:rPr>
            </w:pPr>
          </w:p>
          <w:p w:rsidR="00BE1295" w:rsidRPr="000475BF" w:rsidRDefault="00BE1295" w:rsidP="00A905EE">
            <w:pPr>
              <w:autoSpaceDE w:val="0"/>
              <w:autoSpaceDN w:val="0"/>
              <w:adjustRightInd w:val="0"/>
              <w:rPr>
                <w:rFonts w:asciiTheme="minorHAnsi" w:hAnsiTheme="minorHAnsi" w:cs="Calibri"/>
                <w:sz w:val="22"/>
                <w:szCs w:val="22"/>
                <w:lang w:val="en-US"/>
              </w:rPr>
            </w:pPr>
            <w:r w:rsidRPr="000475BF">
              <w:rPr>
                <w:rFonts w:asciiTheme="minorHAnsi" w:hAnsiTheme="minorHAnsi" w:cs="Calibri"/>
                <w:sz w:val="22"/>
                <w:szCs w:val="22"/>
                <w:lang w:val="en-US"/>
              </w:rPr>
              <w:t xml:space="preserve">Mid </w:t>
            </w:r>
            <w:r>
              <w:rPr>
                <w:rFonts w:asciiTheme="minorHAnsi" w:hAnsiTheme="minorHAnsi" w:cs="Calibri"/>
                <w:sz w:val="22"/>
                <w:szCs w:val="22"/>
                <w:lang w:val="en-US"/>
              </w:rPr>
              <w:t xml:space="preserve">point in A range </w:t>
            </w:r>
          </w:p>
        </w:tc>
        <w:tc>
          <w:tcPr>
            <w:tcW w:w="5165" w:type="dxa"/>
            <w:vMerge/>
          </w:tcPr>
          <w:p w:rsidR="00BE1295" w:rsidRPr="000475BF" w:rsidRDefault="00BE1295" w:rsidP="00A905EE">
            <w:pPr>
              <w:autoSpaceDE w:val="0"/>
              <w:autoSpaceDN w:val="0"/>
              <w:adjustRightInd w:val="0"/>
              <w:rPr>
                <w:rFonts w:asciiTheme="minorHAnsi" w:hAnsiTheme="minorHAnsi" w:cs="Calibri"/>
                <w:sz w:val="22"/>
                <w:szCs w:val="22"/>
                <w:lang w:val="en-US"/>
              </w:rPr>
            </w:pPr>
          </w:p>
        </w:tc>
      </w:tr>
      <w:tr w:rsidR="00BE1295" w:rsidRPr="000475BF" w:rsidTr="00A905EE">
        <w:trPr>
          <w:trHeight w:val="772"/>
        </w:trPr>
        <w:tc>
          <w:tcPr>
            <w:tcW w:w="1134" w:type="dxa"/>
          </w:tcPr>
          <w:p w:rsidR="00BE1295" w:rsidRDefault="00BE1295" w:rsidP="00A905EE">
            <w:pPr>
              <w:jc w:val="center"/>
              <w:rPr>
                <w:rFonts w:asciiTheme="minorHAnsi" w:hAnsiTheme="minorHAnsi" w:cs="Arial"/>
                <w:b/>
                <w:sz w:val="22"/>
                <w:szCs w:val="22"/>
              </w:rPr>
            </w:pPr>
          </w:p>
          <w:p w:rsidR="00BE1295" w:rsidRPr="000475BF" w:rsidRDefault="00BE1295" w:rsidP="00A905EE">
            <w:pPr>
              <w:jc w:val="center"/>
              <w:rPr>
                <w:rFonts w:asciiTheme="minorHAnsi" w:hAnsiTheme="minorHAnsi" w:cs="Arial"/>
                <w:b/>
                <w:sz w:val="22"/>
                <w:szCs w:val="22"/>
              </w:rPr>
            </w:pPr>
            <w:r w:rsidRPr="000475BF">
              <w:rPr>
                <w:rFonts w:asciiTheme="minorHAnsi" w:hAnsiTheme="minorHAnsi" w:cs="Arial"/>
                <w:b/>
                <w:sz w:val="22"/>
                <w:szCs w:val="22"/>
              </w:rPr>
              <w:t>A-</w:t>
            </w:r>
          </w:p>
        </w:tc>
        <w:tc>
          <w:tcPr>
            <w:tcW w:w="1842" w:type="dxa"/>
          </w:tcPr>
          <w:p w:rsidR="00BE1295" w:rsidRDefault="00BE1295" w:rsidP="00A905EE">
            <w:pPr>
              <w:autoSpaceDE w:val="0"/>
              <w:autoSpaceDN w:val="0"/>
              <w:adjustRightInd w:val="0"/>
              <w:rPr>
                <w:rFonts w:asciiTheme="minorHAnsi" w:hAnsiTheme="minorHAnsi" w:cs="Calibri"/>
                <w:sz w:val="22"/>
                <w:szCs w:val="22"/>
                <w:lang w:val="en-US"/>
              </w:rPr>
            </w:pPr>
          </w:p>
          <w:p w:rsidR="00BE1295" w:rsidRPr="000475BF" w:rsidRDefault="00BE1295" w:rsidP="00A905EE">
            <w:pPr>
              <w:autoSpaceDE w:val="0"/>
              <w:autoSpaceDN w:val="0"/>
              <w:adjustRightInd w:val="0"/>
              <w:rPr>
                <w:rFonts w:asciiTheme="minorHAnsi" w:hAnsiTheme="minorHAnsi" w:cs="Calibri"/>
                <w:sz w:val="22"/>
                <w:szCs w:val="22"/>
                <w:lang w:val="en-US"/>
              </w:rPr>
            </w:pPr>
            <w:r w:rsidRPr="000475BF">
              <w:rPr>
                <w:rFonts w:asciiTheme="minorHAnsi" w:hAnsiTheme="minorHAnsi" w:cs="Calibri"/>
                <w:sz w:val="22"/>
                <w:szCs w:val="22"/>
                <w:lang w:val="en-US"/>
              </w:rPr>
              <w:t>High quality performance</w:t>
            </w:r>
          </w:p>
        </w:tc>
        <w:tc>
          <w:tcPr>
            <w:tcW w:w="5165" w:type="dxa"/>
            <w:vMerge/>
          </w:tcPr>
          <w:p w:rsidR="00BE1295" w:rsidRPr="000475BF" w:rsidRDefault="00BE1295" w:rsidP="00A905EE">
            <w:pPr>
              <w:autoSpaceDE w:val="0"/>
              <w:autoSpaceDN w:val="0"/>
              <w:adjustRightInd w:val="0"/>
              <w:rPr>
                <w:rFonts w:asciiTheme="minorHAnsi" w:hAnsiTheme="minorHAnsi" w:cs="Calibri"/>
                <w:sz w:val="22"/>
                <w:szCs w:val="22"/>
                <w:lang w:val="en-US"/>
              </w:rPr>
            </w:pPr>
          </w:p>
        </w:tc>
      </w:tr>
      <w:tr w:rsidR="00BE1295" w:rsidRPr="000475BF" w:rsidTr="00A905EE">
        <w:trPr>
          <w:trHeight w:val="804"/>
        </w:trPr>
        <w:tc>
          <w:tcPr>
            <w:tcW w:w="1134" w:type="dxa"/>
          </w:tcPr>
          <w:p w:rsidR="00BE1295" w:rsidRDefault="00BE1295" w:rsidP="00A905EE">
            <w:pPr>
              <w:jc w:val="center"/>
              <w:rPr>
                <w:rFonts w:asciiTheme="minorHAnsi" w:hAnsiTheme="minorHAnsi" w:cs="Arial"/>
                <w:b/>
                <w:sz w:val="22"/>
                <w:szCs w:val="22"/>
              </w:rPr>
            </w:pPr>
          </w:p>
          <w:p w:rsidR="00BE1295" w:rsidRPr="000475BF" w:rsidRDefault="00BE1295" w:rsidP="00A905EE">
            <w:pPr>
              <w:jc w:val="center"/>
              <w:rPr>
                <w:rFonts w:asciiTheme="minorHAnsi" w:hAnsiTheme="minorHAnsi" w:cs="Arial"/>
                <w:b/>
                <w:sz w:val="22"/>
                <w:szCs w:val="22"/>
              </w:rPr>
            </w:pPr>
            <w:r w:rsidRPr="000475BF">
              <w:rPr>
                <w:rFonts w:asciiTheme="minorHAnsi" w:hAnsiTheme="minorHAnsi" w:cs="Arial"/>
                <w:b/>
                <w:sz w:val="22"/>
                <w:szCs w:val="22"/>
              </w:rPr>
              <w:t>B+</w:t>
            </w:r>
          </w:p>
        </w:tc>
        <w:tc>
          <w:tcPr>
            <w:tcW w:w="1842" w:type="dxa"/>
          </w:tcPr>
          <w:p w:rsidR="00BE1295" w:rsidRDefault="00BE1295" w:rsidP="00A905EE">
            <w:pPr>
              <w:rPr>
                <w:rFonts w:asciiTheme="minorHAnsi" w:hAnsiTheme="minorHAnsi" w:cs="Arial"/>
                <w:sz w:val="22"/>
                <w:szCs w:val="22"/>
              </w:rPr>
            </w:pPr>
          </w:p>
          <w:p w:rsidR="00BE1295" w:rsidRPr="000475BF" w:rsidRDefault="00BE1295" w:rsidP="00A905EE">
            <w:pPr>
              <w:rPr>
                <w:rFonts w:asciiTheme="minorHAnsi" w:hAnsiTheme="minorHAnsi" w:cs="Arial"/>
                <w:sz w:val="22"/>
                <w:szCs w:val="22"/>
              </w:rPr>
            </w:pPr>
            <w:r w:rsidRPr="000475BF">
              <w:rPr>
                <w:rFonts w:asciiTheme="minorHAnsi" w:hAnsiTheme="minorHAnsi" w:cs="Arial"/>
                <w:sz w:val="22"/>
                <w:szCs w:val="22"/>
              </w:rPr>
              <w:t>Very good</w:t>
            </w:r>
          </w:p>
        </w:tc>
        <w:tc>
          <w:tcPr>
            <w:tcW w:w="5165" w:type="dxa"/>
            <w:vMerge w:val="restart"/>
          </w:tcPr>
          <w:p w:rsidR="00BE1295" w:rsidRDefault="00BE1295" w:rsidP="00A905EE">
            <w:pPr>
              <w:autoSpaceDE w:val="0"/>
              <w:autoSpaceDN w:val="0"/>
              <w:adjustRightInd w:val="0"/>
              <w:rPr>
                <w:rFonts w:asciiTheme="minorHAnsi" w:hAnsiTheme="minorHAnsi" w:cs="Calibri"/>
                <w:sz w:val="22"/>
                <w:szCs w:val="22"/>
                <w:lang w:val="en-US"/>
              </w:rPr>
            </w:pPr>
          </w:p>
          <w:p w:rsidR="00BE1295" w:rsidRPr="000475BF" w:rsidRDefault="00BE1295" w:rsidP="00A905EE">
            <w:pPr>
              <w:autoSpaceDE w:val="0"/>
              <w:autoSpaceDN w:val="0"/>
              <w:adjustRightInd w:val="0"/>
              <w:rPr>
                <w:rFonts w:asciiTheme="minorHAnsi" w:hAnsiTheme="minorHAnsi" w:cs="Calibri"/>
                <w:sz w:val="22"/>
                <w:szCs w:val="22"/>
                <w:lang w:val="en-US"/>
              </w:rPr>
            </w:pPr>
            <w:r w:rsidRPr="000475BF">
              <w:rPr>
                <w:rFonts w:asciiTheme="minorHAnsi" w:hAnsiTheme="minorHAnsi" w:cs="Calibri"/>
                <w:sz w:val="22"/>
                <w:szCs w:val="22"/>
                <w:lang w:val="en-US"/>
              </w:rPr>
              <w:t>Sound research plan. Reasonable formulation of</w:t>
            </w:r>
            <w:r>
              <w:rPr>
                <w:rFonts w:asciiTheme="minorHAnsi" w:hAnsiTheme="minorHAnsi" w:cs="Calibri"/>
                <w:sz w:val="22"/>
                <w:szCs w:val="22"/>
                <w:lang w:val="en-US"/>
              </w:rPr>
              <w:t xml:space="preserve"> </w:t>
            </w:r>
            <w:r w:rsidRPr="000475BF">
              <w:rPr>
                <w:rFonts w:asciiTheme="minorHAnsi" w:hAnsiTheme="minorHAnsi" w:cs="Calibri"/>
                <w:sz w:val="22"/>
                <w:szCs w:val="22"/>
                <w:lang w:val="en-US"/>
              </w:rPr>
              <w:t>research questions and appropriate investigative</w:t>
            </w:r>
          </w:p>
          <w:p w:rsidR="00BE1295" w:rsidRPr="000475BF" w:rsidRDefault="00BE1295" w:rsidP="00A905EE">
            <w:pPr>
              <w:autoSpaceDE w:val="0"/>
              <w:autoSpaceDN w:val="0"/>
              <w:adjustRightInd w:val="0"/>
              <w:rPr>
                <w:rFonts w:asciiTheme="minorHAnsi" w:hAnsiTheme="minorHAnsi" w:cs="Calibri"/>
                <w:sz w:val="22"/>
                <w:szCs w:val="22"/>
                <w:lang w:val="en-US"/>
              </w:rPr>
            </w:pPr>
            <w:proofErr w:type="gramStart"/>
            <w:r w:rsidRPr="000475BF">
              <w:rPr>
                <w:rFonts w:asciiTheme="minorHAnsi" w:hAnsiTheme="minorHAnsi" w:cs="Calibri"/>
                <w:sz w:val="22"/>
                <w:szCs w:val="22"/>
                <w:lang w:val="en-US"/>
              </w:rPr>
              <w:t>methodology</w:t>
            </w:r>
            <w:proofErr w:type="gramEnd"/>
            <w:r w:rsidRPr="000475BF">
              <w:rPr>
                <w:rFonts w:asciiTheme="minorHAnsi" w:hAnsiTheme="minorHAnsi" w:cs="Calibri"/>
                <w:sz w:val="22"/>
                <w:szCs w:val="22"/>
                <w:lang w:val="en-US"/>
              </w:rPr>
              <w:t xml:space="preserve"> used. Reasonable knowledge of the</w:t>
            </w:r>
          </w:p>
          <w:p w:rsidR="00BE1295" w:rsidRPr="006E2E12" w:rsidRDefault="00BE1295" w:rsidP="00A905EE">
            <w:pPr>
              <w:autoSpaceDE w:val="0"/>
              <w:autoSpaceDN w:val="0"/>
              <w:adjustRightInd w:val="0"/>
              <w:rPr>
                <w:rFonts w:asciiTheme="minorHAnsi" w:hAnsiTheme="minorHAnsi" w:cs="Calibri"/>
                <w:sz w:val="22"/>
                <w:szCs w:val="22"/>
                <w:lang w:val="en-US"/>
              </w:rPr>
            </w:pPr>
            <w:proofErr w:type="gramStart"/>
            <w:r w:rsidRPr="000475BF">
              <w:rPr>
                <w:rFonts w:asciiTheme="minorHAnsi" w:hAnsiTheme="minorHAnsi" w:cs="Calibri"/>
                <w:sz w:val="22"/>
                <w:szCs w:val="22"/>
                <w:lang w:val="en-US"/>
              </w:rPr>
              <w:t>literature</w:t>
            </w:r>
            <w:proofErr w:type="gramEnd"/>
            <w:r w:rsidRPr="000475BF">
              <w:rPr>
                <w:rFonts w:asciiTheme="minorHAnsi" w:hAnsiTheme="minorHAnsi" w:cs="Calibri"/>
                <w:sz w:val="22"/>
                <w:szCs w:val="22"/>
                <w:lang w:val="en-US"/>
              </w:rPr>
              <w:t xml:space="preserve"> and evaluation of previous work. Appropriate</w:t>
            </w:r>
            <w:r>
              <w:rPr>
                <w:rFonts w:asciiTheme="minorHAnsi" w:hAnsiTheme="minorHAnsi" w:cs="Calibri"/>
                <w:sz w:val="22"/>
                <w:szCs w:val="22"/>
                <w:lang w:val="en-US"/>
              </w:rPr>
              <w:t xml:space="preserve"> </w:t>
            </w:r>
            <w:r w:rsidRPr="000475BF">
              <w:rPr>
                <w:rFonts w:asciiTheme="minorHAnsi" w:hAnsiTheme="minorHAnsi" w:cs="Calibri"/>
                <w:sz w:val="22"/>
                <w:szCs w:val="22"/>
                <w:lang w:val="en-US"/>
              </w:rPr>
              <w:t>original data collected (if applicable) and reasonable data analysis. Some</w:t>
            </w:r>
            <w:r>
              <w:rPr>
                <w:rFonts w:asciiTheme="minorHAnsi" w:hAnsiTheme="minorHAnsi" w:cs="Calibri"/>
                <w:sz w:val="22"/>
                <w:szCs w:val="22"/>
                <w:lang w:val="en-US"/>
              </w:rPr>
              <w:t xml:space="preserve"> </w:t>
            </w:r>
            <w:r w:rsidRPr="000475BF">
              <w:rPr>
                <w:rFonts w:asciiTheme="minorHAnsi" w:hAnsiTheme="minorHAnsi" w:cs="Calibri"/>
                <w:sz w:val="22"/>
                <w:szCs w:val="22"/>
                <w:lang w:val="en-US"/>
              </w:rPr>
              <w:t>appreciation of the significance of the data/evidence.</w:t>
            </w:r>
            <w:r>
              <w:rPr>
                <w:rFonts w:asciiTheme="minorHAnsi" w:hAnsiTheme="minorHAnsi" w:cs="Calibri"/>
                <w:sz w:val="22"/>
                <w:szCs w:val="22"/>
                <w:lang w:val="en-US"/>
              </w:rPr>
              <w:t xml:space="preserve"> Some e</w:t>
            </w:r>
            <w:r w:rsidRPr="000475BF">
              <w:rPr>
                <w:rFonts w:asciiTheme="minorHAnsi" w:hAnsiTheme="minorHAnsi" w:cs="Calibri"/>
                <w:sz w:val="22"/>
                <w:szCs w:val="22"/>
                <w:lang w:val="en-US"/>
              </w:rPr>
              <w:t>vidence of original and critical thinking. Arguments</w:t>
            </w:r>
            <w:r>
              <w:rPr>
                <w:rFonts w:asciiTheme="minorHAnsi" w:hAnsiTheme="minorHAnsi" w:cs="Calibri"/>
                <w:sz w:val="22"/>
                <w:szCs w:val="22"/>
                <w:lang w:val="en-US"/>
              </w:rPr>
              <w:t xml:space="preserve"> </w:t>
            </w:r>
            <w:r w:rsidRPr="000475BF">
              <w:rPr>
                <w:rFonts w:asciiTheme="minorHAnsi" w:hAnsiTheme="minorHAnsi" w:cs="Calibri"/>
                <w:sz w:val="22"/>
                <w:szCs w:val="22"/>
                <w:lang w:val="en-US"/>
              </w:rPr>
              <w:t>presented reasonably well. Thesis reasonably well</w:t>
            </w:r>
            <w:r>
              <w:rPr>
                <w:rFonts w:asciiTheme="minorHAnsi" w:hAnsiTheme="minorHAnsi" w:cs="Calibri"/>
                <w:sz w:val="22"/>
                <w:szCs w:val="22"/>
                <w:lang w:val="en-US"/>
              </w:rPr>
              <w:t xml:space="preserve"> constructed</w:t>
            </w:r>
            <w:r w:rsidRPr="000475BF">
              <w:rPr>
                <w:rFonts w:asciiTheme="minorHAnsi" w:hAnsiTheme="minorHAnsi" w:cs="Calibri"/>
                <w:sz w:val="22"/>
                <w:szCs w:val="22"/>
                <w:lang w:val="en-US"/>
              </w:rPr>
              <w:t>.</w:t>
            </w:r>
            <w:r w:rsidRPr="000475BF">
              <w:rPr>
                <w:rFonts w:asciiTheme="minorHAnsi" w:hAnsiTheme="minorHAnsi" w:cs="Arial"/>
                <w:sz w:val="22"/>
                <w:szCs w:val="22"/>
              </w:rPr>
              <w:t xml:space="preserve"> </w:t>
            </w:r>
          </w:p>
          <w:p w:rsidR="00BE1295" w:rsidRPr="009F2C99" w:rsidRDefault="00BE1295" w:rsidP="00A905EE">
            <w:pPr>
              <w:autoSpaceDE w:val="0"/>
              <w:autoSpaceDN w:val="0"/>
              <w:adjustRightInd w:val="0"/>
              <w:rPr>
                <w:rFonts w:asciiTheme="minorHAnsi" w:hAnsiTheme="minorHAnsi" w:cs="Calibri"/>
                <w:sz w:val="22"/>
                <w:szCs w:val="22"/>
                <w:lang w:val="en-US"/>
              </w:rPr>
            </w:pPr>
          </w:p>
        </w:tc>
      </w:tr>
      <w:tr w:rsidR="00BE1295" w:rsidRPr="000475BF" w:rsidTr="00A905EE">
        <w:trPr>
          <w:trHeight w:val="804"/>
        </w:trPr>
        <w:tc>
          <w:tcPr>
            <w:tcW w:w="1134" w:type="dxa"/>
          </w:tcPr>
          <w:p w:rsidR="00BE1295" w:rsidRDefault="00BE1295" w:rsidP="00A905EE">
            <w:pPr>
              <w:jc w:val="center"/>
              <w:rPr>
                <w:rFonts w:asciiTheme="minorHAnsi" w:hAnsiTheme="minorHAnsi" w:cs="Arial"/>
                <w:b/>
                <w:sz w:val="22"/>
                <w:szCs w:val="22"/>
              </w:rPr>
            </w:pPr>
          </w:p>
          <w:p w:rsidR="00BE1295" w:rsidRPr="000475BF" w:rsidRDefault="00BE1295" w:rsidP="00A905EE">
            <w:pPr>
              <w:jc w:val="center"/>
              <w:rPr>
                <w:rFonts w:asciiTheme="minorHAnsi" w:hAnsiTheme="minorHAnsi" w:cs="Arial"/>
                <w:b/>
                <w:sz w:val="22"/>
                <w:szCs w:val="22"/>
              </w:rPr>
            </w:pPr>
            <w:r w:rsidRPr="000475BF">
              <w:rPr>
                <w:rFonts w:asciiTheme="minorHAnsi" w:hAnsiTheme="minorHAnsi" w:cs="Arial"/>
                <w:b/>
                <w:sz w:val="22"/>
                <w:szCs w:val="22"/>
              </w:rPr>
              <w:t>B</w:t>
            </w:r>
          </w:p>
        </w:tc>
        <w:tc>
          <w:tcPr>
            <w:tcW w:w="1842" w:type="dxa"/>
          </w:tcPr>
          <w:p w:rsidR="00BE1295" w:rsidRDefault="00BE1295" w:rsidP="00A905EE">
            <w:pPr>
              <w:rPr>
                <w:rFonts w:asciiTheme="minorHAnsi" w:hAnsiTheme="minorHAnsi" w:cs="Arial"/>
                <w:sz w:val="22"/>
                <w:szCs w:val="22"/>
              </w:rPr>
            </w:pPr>
          </w:p>
          <w:p w:rsidR="00BE1295" w:rsidRPr="000475BF" w:rsidRDefault="00BE1295" w:rsidP="00A905EE">
            <w:pPr>
              <w:rPr>
                <w:rFonts w:asciiTheme="minorHAnsi" w:hAnsiTheme="minorHAnsi" w:cs="Arial"/>
                <w:sz w:val="22"/>
                <w:szCs w:val="22"/>
              </w:rPr>
            </w:pPr>
            <w:r w:rsidRPr="000475BF">
              <w:rPr>
                <w:rFonts w:asciiTheme="minorHAnsi" w:hAnsiTheme="minorHAnsi" w:cs="Arial"/>
                <w:sz w:val="22"/>
                <w:szCs w:val="22"/>
              </w:rPr>
              <w:t>Mid point</w:t>
            </w:r>
            <w:r>
              <w:rPr>
                <w:rFonts w:asciiTheme="minorHAnsi" w:hAnsiTheme="minorHAnsi" w:cs="Arial"/>
                <w:sz w:val="22"/>
                <w:szCs w:val="22"/>
              </w:rPr>
              <w:t xml:space="preserve"> in B range</w:t>
            </w:r>
          </w:p>
        </w:tc>
        <w:tc>
          <w:tcPr>
            <w:tcW w:w="5165" w:type="dxa"/>
            <w:vMerge/>
          </w:tcPr>
          <w:p w:rsidR="00BE1295" w:rsidRPr="000475BF" w:rsidRDefault="00BE1295" w:rsidP="00A905EE">
            <w:pPr>
              <w:jc w:val="both"/>
              <w:rPr>
                <w:rFonts w:asciiTheme="minorHAnsi" w:hAnsiTheme="minorHAnsi" w:cs="Arial"/>
                <w:sz w:val="22"/>
                <w:szCs w:val="22"/>
              </w:rPr>
            </w:pPr>
          </w:p>
        </w:tc>
      </w:tr>
      <w:tr w:rsidR="00BE1295" w:rsidRPr="000475BF" w:rsidTr="00A905EE">
        <w:trPr>
          <w:trHeight w:val="804"/>
        </w:trPr>
        <w:tc>
          <w:tcPr>
            <w:tcW w:w="1134" w:type="dxa"/>
          </w:tcPr>
          <w:p w:rsidR="00BE1295" w:rsidRDefault="00BE1295" w:rsidP="00A905EE">
            <w:pPr>
              <w:jc w:val="center"/>
              <w:rPr>
                <w:rFonts w:asciiTheme="minorHAnsi" w:hAnsiTheme="minorHAnsi" w:cs="Arial"/>
                <w:b/>
                <w:sz w:val="22"/>
                <w:szCs w:val="22"/>
              </w:rPr>
            </w:pPr>
          </w:p>
          <w:p w:rsidR="00BE1295" w:rsidRPr="000475BF" w:rsidRDefault="00BE1295" w:rsidP="00A905EE">
            <w:pPr>
              <w:jc w:val="center"/>
              <w:rPr>
                <w:rFonts w:asciiTheme="minorHAnsi" w:hAnsiTheme="minorHAnsi" w:cs="Arial"/>
                <w:b/>
                <w:sz w:val="22"/>
                <w:szCs w:val="22"/>
              </w:rPr>
            </w:pPr>
            <w:r w:rsidRPr="000475BF">
              <w:rPr>
                <w:rFonts w:asciiTheme="minorHAnsi" w:hAnsiTheme="minorHAnsi" w:cs="Arial"/>
                <w:b/>
                <w:sz w:val="22"/>
                <w:szCs w:val="22"/>
              </w:rPr>
              <w:t>B-</w:t>
            </w:r>
          </w:p>
        </w:tc>
        <w:tc>
          <w:tcPr>
            <w:tcW w:w="1842" w:type="dxa"/>
          </w:tcPr>
          <w:p w:rsidR="00BE1295" w:rsidRDefault="00BE1295" w:rsidP="00A905EE">
            <w:pPr>
              <w:rPr>
                <w:rFonts w:asciiTheme="minorHAnsi" w:hAnsiTheme="minorHAnsi" w:cs="Arial"/>
                <w:sz w:val="22"/>
                <w:szCs w:val="22"/>
              </w:rPr>
            </w:pPr>
          </w:p>
          <w:p w:rsidR="00BE1295" w:rsidRPr="000475BF" w:rsidRDefault="00BE1295" w:rsidP="00A905EE">
            <w:pPr>
              <w:rPr>
                <w:rFonts w:asciiTheme="minorHAnsi" w:hAnsiTheme="minorHAnsi" w:cs="Arial"/>
                <w:sz w:val="22"/>
                <w:szCs w:val="22"/>
              </w:rPr>
            </w:pPr>
            <w:r>
              <w:rPr>
                <w:rFonts w:asciiTheme="minorHAnsi" w:hAnsiTheme="minorHAnsi" w:cs="Arial"/>
                <w:sz w:val="22"/>
                <w:szCs w:val="22"/>
              </w:rPr>
              <w:t xml:space="preserve">Good </w:t>
            </w:r>
          </w:p>
        </w:tc>
        <w:tc>
          <w:tcPr>
            <w:tcW w:w="5165" w:type="dxa"/>
            <w:vMerge/>
          </w:tcPr>
          <w:p w:rsidR="00BE1295" w:rsidRPr="000475BF" w:rsidRDefault="00BE1295" w:rsidP="00A905EE">
            <w:pPr>
              <w:jc w:val="both"/>
              <w:rPr>
                <w:rFonts w:asciiTheme="minorHAnsi" w:hAnsiTheme="minorHAnsi" w:cs="Arial"/>
                <w:sz w:val="22"/>
                <w:szCs w:val="22"/>
              </w:rPr>
            </w:pPr>
          </w:p>
        </w:tc>
      </w:tr>
      <w:tr w:rsidR="00BE1295" w:rsidRPr="000475BF" w:rsidTr="00A905EE">
        <w:trPr>
          <w:trHeight w:val="1344"/>
        </w:trPr>
        <w:tc>
          <w:tcPr>
            <w:tcW w:w="1134" w:type="dxa"/>
          </w:tcPr>
          <w:p w:rsidR="00BE1295" w:rsidRDefault="00BE1295" w:rsidP="00A905EE">
            <w:pPr>
              <w:jc w:val="center"/>
              <w:rPr>
                <w:rFonts w:asciiTheme="minorHAnsi" w:hAnsiTheme="minorHAnsi" w:cs="Arial"/>
                <w:b/>
                <w:sz w:val="22"/>
                <w:szCs w:val="22"/>
              </w:rPr>
            </w:pPr>
          </w:p>
          <w:p w:rsidR="00BE1295" w:rsidRPr="000475BF" w:rsidRDefault="00BE1295" w:rsidP="00A905EE">
            <w:pPr>
              <w:jc w:val="center"/>
              <w:rPr>
                <w:rFonts w:asciiTheme="minorHAnsi" w:hAnsiTheme="minorHAnsi" w:cs="Arial"/>
                <w:b/>
                <w:sz w:val="22"/>
                <w:szCs w:val="22"/>
              </w:rPr>
            </w:pPr>
            <w:r w:rsidRPr="000475BF">
              <w:rPr>
                <w:rFonts w:asciiTheme="minorHAnsi" w:hAnsiTheme="minorHAnsi" w:cs="Arial"/>
                <w:b/>
                <w:sz w:val="22"/>
                <w:szCs w:val="22"/>
              </w:rPr>
              <w:t>C+</w:t>
            </w:r>
          </w:p>
        </w:tc>
        <w:tc>
          <w:tcPr>
            <w:tcW w:w="1842" w:type="dxa"/>
          </w:tcPr>
          <w:p w:rsidR="00BE1295" w:rsidRDefault="00BE1295" w:rsidP="00A905EE">
            <w:pPr>
              <w:rPr>
                <w:rFonts w:asciiTheme="minorHAnsi" w:hAnsiTheme="minorHAnsi" w:cs="Arial"/>
                <w:sz w:val="22"/>
                <w:szCs w:val="22"/>
              </w:rPr>
            </w:pPr>
          </w:p>
          <w:p w:rsidR="00BE1295" w:rsidRPr="000475BF" w:rsidRDefault="00BE1295" w:rsidP="00A905EE">
            <w:pPr>
              <w:rPr>
                <w:rFonts w:asciiTheme="minorHAnsi" w:hAnsiTheme="minorHAnsi" w:cs="Arial"/>
                <w:sz w:val="22"/>
                <w:szCs w:val="22"/>
              </w:rPr>
            </w:pPr>
            <w:r w:rsidRPr="000475BF">
              <w:rPr>
                <w:rFonts w:asciiTheme="minorHAnsi" w:hAnsiTheme="minorHAnsi" w:cs="Arial"/>
                <w:sz w:val="22"/>
                <w:szCs w:val="22"/>
              </w:rPr>
              <w:t>Pass</w:t>
            </w:r>
          </w:p>
        </w:tc>
        <w:tc>
          <w:tcPr>
            <w:tcW w:w="5165" w:type="dxa"/>
            <w:vMerge w:val="restart"/>
          </w:tcPr>
          <w:p w:rsidR="00BE1295" w:rsidRDefault="00BE1295" w:rsidP="00A905EE">
            <w:pPr>
              <w:autoSpaceDE w:val="0"/>
              <w:autoSpaceDN w:val="0"/>
              <w:adjustRightInd w:val="0"/>
              <w:rPr>
                <w:rFonts w:asciiTheme="minorHAnsi" w:hAnsiTheme="minorHAnsi" w:cs="Calibri"/>
                <w:sz w:val="22"/>
                <w:szCs w:val="22"/>
                <w:lang w:val="en-US"/>
              </w:rPr>
            </w:pPr>
          </w:p>
          <w:p w:rsidR="00BE1295" w:rsidRPr="000475BF" w:rsidRDefault="00BE1295" w:rsidP="00A905EE">
            <w:pPr>
              <w:autoSpaceDE w:val="0"/>
              <w:autoSpaceDN w:val="0"/>
              <w:adjustRightInd w:val="0"/>
              <w:rPr>
                <w:rFonts w:asciiTheme="minorHAnsi" w:hAnsiTheme="minorHAnsi" w:cs="Calibri"/>
                <w:sz w:val="22"/>
                <w:szCs w:val="22"/>
                <w:lang w:val="en-US"/>
              </w:rPr>
            </w:pPr>
            <w:r w:rsidRPr="000475BF">
              <w:rPr>
                <w:rFonts w:asciiTheme="minorHAnsi" w:hAnsiTheme="minorHAnsi" w:cs="Calibri"/>
                <w:sz w:val="22"/>
                <w:szCs w:val="22"/>
                <w:lang w:val="en-US"/>
              </w:rPr>
              <w:t>Research questions formulated and adequate research</w:t>
            </w:r>
          </w:p>
          <w:p w:rsidR="00BE1295" w:rsidRPr="000475BF" w:rsidRDefault="00BE1295" w:rsidP="00A905EE">
            <w:pPr>
              <w:autoSpaceDE w:val="0"/>
              <w:autoSpaceDN w:val="0"/>
              <w:adjustRightInd w:val="0"/>
              <w:rPr>
                <w:rFonts w:asciiTheme="minorHAnsi" w:hAnsiTheme="minorHAnsi" w:cs="Calibri"/>
                <w:sz w:val="22"/>
                <w:szCs w:val="22"/>
                <w:lang w:val="en-US"/>
              </w:rPr>
            </w:pPr>
            <w:proofErr w:type="gramStart"/>
            <w:r w:rsidRPr="000475BF">
              <w:rPr>
                <w:rFonts w:asciiTheme="minorHAnsi" w:hAnsiTheme="minorHAnsi" w:cs="Calibri"/>
                <w:sz w:val="22"/>
                <w:szCs w:val="22"/>
                <w:lang w:val="en-US"/>
              </w:rPr>
              <w:t>methodology</w:t>
            </w:r>
            <w:proofErr w:type="gramEnd"/>
            <w:r w:rsidRPr="000475BF">
              <w:rPr>
                <w:rFonts w:asciiTheme="minorHAnsi" w:hAnsiTheme="minorHAnsi" w:cs="Calibri"/>
                <w:sz w:val="22"/>
                <w:szCs w:val="22"/>
                <w:lang w:val="en-US"/>
              </w:rPr>
              <w:t xml:space="preserve"> applied. Kn</w:t>
            </w:r>
            <w:r>
              <w:rPr>
                <w:rFonts w:asciiTheme="minorHAnsi" w:hAnsiTheme="minorHAnsi" w:cs="Calibri"/>
                <w:sz w:val="22"/>
                <w:szCs w:val="22"/>
                <w:lang w:val="en-US"/>
              </w:rPr>
              <w:t xml:space="preserve">owledge of subject matter shown </w:t>
            </w:r>
            <w:r w:rsidRPr="000475BF">
              <w:rPr>
                <w:rFonts w:asciiTheme="minorHAnsi" w:hAnsiTheme="minorHAnsi" w:cs="Calibri"/>
                <w:sz w:val="22"/>
                <w:szCs w:val="22"/>
                <w:lang w:val="en-US"/>
              </w:rPr>
              <w:t>but with some lapses, inadequacies and errors.</w:t>
            </w:r>
          </w:p>
          <w:p w:rsidR="00BE1295" w:rsidRPr="009F2C99" w:rsidRDefault="00BE1295" w:rsidP="00A905EE">
            <w:pPr>
              <w:autoSpaceDE w:val="0"/>
              <w:autoSpaceDN w:val="0"/>
              <w:adjustRightInd w:val="0"/>
              <w:rPr>
                <w:rFonts w:asciiTheme="minorHAnsi" w:hAnsiTheme="minorHAnsi" w:cs="Calibri"/>
                <w:sz w:val="22"/>
                <w:szCs w:val="22"/>
                <w:lang w:val="en-US"/>
              </w:rPr>
            </w:pPr>
            <w:r w:rsidRPr="000475BF">
              <w:rPr>
                <w:rFonts w:asciiTheme="minorHAnsi" w:hAnsiTheme="minorHAnsi" w:cs="Calibri"/>
                <w:sz w:val="22"/>
                <w:szCs w:val="22"/>
                <w:lang w:val="en-US"/>
              </w:rPr>
              <w:t>Adequate attempt at data</w:t>
            </w:r>
            <w:r>
              <w:rPr>
                <w:rFonts w:asciiTheme="minorHAnsi" w:hAnsiTheme="minorHAnsi" w:cs="Calibri"/>
                <w:sz w:val="22"/>
                <w:szCs w:val="22"/>
                <w:lang w:val="en-US"/>
              </w:rPr>
              <w:t xml:space="preserve"> analysis but may lack adequate </w:t>
            </w:r>
            <w:r w:rsidRPr="000475BF">
              <w:rPr>
                <w:rFonts w:asciiTheme="minorHAnsi" w:hAnsiTheme="minorHAnsi" w:cs="Calibri"/>
                <w:sz w:val="22"/>
                <w:szCs w:val="22"/>
                <w:lang w:val="en-US"/>
              </w:rPr>
              <w:t>Justification. Original and critical thinking present but</w:t>
            </w:r>
            <w:r>
              <w:rPr>
                <w:rFonts w:asciiTheme="minorHAnsi" w:hAnsiTheme="minorHAnsi" w:cs="Calibri"/>
                <w:sz w:val="22"/>
                <w:szCs w:val="22"/>
                <w:lang w:val="en-US"/>
              </w:rPr>
              <w:t xml:space="preserve"> </w:t>
            </w:r>
            <w:r w:rsidRPr="000475BF">
              <w:rPr>
                <w:rFonts w:asciiTheme="minorHAnsi" w:hAnsiTheme="minorHAnsi" w:cs="Calibri"/>
                <w:sz w:val="22"/>
                <w:szCs w:val="22"/>
                <w:lang w:val="en-US"/>
              </w:rPr>
              <w:t>limited.</w:t>
            </w:r>
          </w:p>
          <w:p w:rsidR="00BE1295" w:rsidRPr="000475BF" w:rsidRDefault="00BE1295" w:rsidP="00A905EE">
            <w:pPr>
              <w:jc w:val="both"/>
              <w:rPr>
                <w:rFonts w:asciiTheme="minorHAnsi" w:hAnsiTheme="minorHAnsi" w:cs="Arial"/>
                <w:sz w:val="22"/>
                <w:szCs w:val="22"/>
              </w:rPr>
            </w:pPr>
          </w:p>
        </w:tc>
      </w:tr>
      <w:tr w:rsidR="00BE1295" w:rsidRPr="000475BF" w:rsidTr="00A905EE">
        <w:trPr>
          <w:trHeight w:val="782"/>
        </w:trPr>
        <w:tc>
          <w:tcPr>
            <w:tcW w:w="1134" w:type="dxa"/>
          </w:tcPr>
          <w:p w:rsidR="00BE1295" w:rsidRDefault="00BE1295" w:rsidP="00A905EE">
            <w:pPr>
              <w:jc w:val="center"/>
              <w:rPr>
                <w:rFonts w:asciiTheme="minorHAnsi" w:hAnsiTheme="minorHAnsi" w:cs="Arial"/>
                <w:b/>
                <w:sz w:val="22"/>
                <w:szCs w:val="22"/>
              </w:rPr>
            </w:pPr>
          </w:p>
          <w:p w:rsidR="00BE1295" w:rsidRPr="000475BF" w:rsidRDefault="00BE1295" w:rsidP="00A905EE">
            <w:pPr>
              <w:jc w:val="center"/>
              <w:rPr>
                <w:rFonts w:asciiTheme="minorHAnsi" w:hAnsiTheme="minorHAnsi" w:cs="Arial"/>
                <w:b/>
                <w:sz w:val="22"/>
                <w:szCs w:val="22"/>
              </w:rPr>
            </w:pPr>
            <w:r w:rsidRPr="000475BF">
              <w:rPr>
                <w:rFonts w:asciiTheme="minorHAnsi" w:hAnsiTheme="minorHAnsi" w:cs="Arial"/>
                <w:b/>
                <w:sz w:val="22"/>
                <w:szCs w:val="22"/>
              </w:rPr>
              <w:t>C</w:t>
            </w:r>
          </w:p>
        </w:tc>
        <w:tc>
          <w:tcPr>
            <w:tcW w:w="1842" w:type="dxa"/>
          </w:tcPr>
          <w:p w:rsidR="00BE1295" w:rsidRPr="000475BF" w:rsidRDefault="00BE1295" w:rsidP="00A905EE">
            <w:pPr>
              <w:rPr>
                <w:rFonts w:asciiTheme="minorHAnsi" w:hAnsiTheme="minorHAnsi" w:cs="Arial"/>
                <w:sz w:val="22"/>
                <w:szCs w:val="22"/>
              </w:rPr>
            </w:pPr>
            <w:r>
              <w:rPr>
                <w:rFonts w:asciiTheme="minorHAnsi" w:hAnsiTheme="minorHAnsi" w:cs="Arial"/>
                <w:sz w:val="22"/>
                <w:szCs w:val="22"/>
              </w:rPr>
              <w:t>Mid point in C range</w:t>
            </w:r>
          </w:p>
        </w:tc>
        <w:tc>
          <w:tcPr>
            <w:tcW w:w="5165" w:type="dxa"/>
            <w:vMerge/>
            <w:tcBorders>
              <w:bottom w:val="nil"/>
            </w:tcBorders>
          </w:tcPr>
          <w:p w:rsidR="00BE1295" w:rsidRPr="000475BF" w:rsidRDefault="00BE1295" w:rsidP="00A905EE">
            <w:pPr>
              <w:jc w:val="both"/>
              <w:rPr>
                <w:rFonts w:asciiTheme="minorHAnsi" w:hAnsiTheme="minorHAnsi" w:cs="Arial"/>
                <w:sz w:val="22"/>
                <w:szCs w:val="22"/>
              </w:rPr>
            </w:pPr>
          </w:p>
        </w:tc>
      </w:tr>
      <w:tr w:rsidR="00BE1295" w:rsidRPr="000475BF" w:rsidTr="00A905EE">
        <w:tc>
          <w:tcPr>
            <w:tcW w:w="1134" w:type="dxa"/>
          </w:tcPr>
          <w:p w:rsidR="00BE1295" w:rsidRDefault="00BE1295" w:rsidP="00A905EE">
            <w:pPr>
              <w:jc w:val="center"/>
              <w:rPr>
                <w:rFonts w:asciiTheme="minorHAnsi" w:hAnsiTheme="minorHAnsi" w:cs="Arial"/>
                <w:b/>
                <w:sz w:val="22"/>
                <w:szCs w:val="22"/>
              </w:rPr>
            </w:pPr>
            <w:r>
              <w:rPr>
                <w:rFonts w:asciiTheme="minorHAnsi" w:hAnsiTheme="minorHAnsi" w:cs="Arial"/>
                <w:b/>
                <w:sz w:val="22"/>
                <w:szCs w:val="22"/>
              </w:rPr>
              <w:t>C-</w:t>
            </w:r>
          </w:p>
        </w:tc>
        <w:tc>
          <w:tcPr>
            <w:tcW w:w="1842" w:type="dxa"/>
          </w:tcPr>
          <w:p w:rsidR="00BE1295" w:rsidRPr="000475BF" w:rsidRDefault="00BE1295" w:rsidP="00A905EE">
            <w:pPr>
              <w:jc w:val="both"/>
              <w:rPr>
                <w:rFonts w:asciiTheme="minorHAnsi" w:hAnsiTheme="minorHAnsi" w:cs="Arial"/>
                <w:sz w:val="22"/>
                <w:szCs w:val="22"/>
              </w:rPr>
            </w:pPr>
            <w:r>
              <w:rPr>
                <w:rFonts w:asciiTheme="minorHAnsi" w:hAnsiTheme="minorHAnsi" w:cs="Arial"/>
                <w:sz w:val="22"/>
                <w:szCs w:val="22"/>
              </w:rPr>
              <w:t>Marginal pass</w:t>
            </w:r>
          </w:p>
        </w:tc>
        <w:tc>
          <w:tcPr>
            <w:tcW w:w="5165" w:type="dxa"/>
            <w:tcBorders>
              <w:top w:val="nil"/>
            </w:tcBorders>
          </w:tcPr>
          <w:p w:rsidR="00BE1295" w:rsidRDefault="00BE1295" w:rsidP="00A905EE">
            <w:pPr>
              <w:autoSpaceDE w:val="0"/>
              <w:autoSpaceDN w:val="0"/>
              <w:adjustRightInd w:val="0"/>
              <w:rPr>
                <w:rFonts w:asciiTheme="minorHAnsi" w:hAnsiTheme="minorHAnsi" w:cs="Calibri"/>
                <w:sz w:val="22"/>
                <w:szCs w:val="22"/>
                <w:lang w:val="en-US"/>
              </w:rPr>
            </w:pPr>
          </w:p>
        </w:tc>
      </w:tr>
      <w:tr w:rsidR="00BE1295" w:rsidRPr="000475BF" w:rsidTr="00A905EE">
        <w:tc>
          <w:tcPr>
            <w:tcW w:w="1134" w:type="dxa"/>
          </w:tcPr>
          <w:p w:rsidR="00BE1295" w:rsidRDefault="00BE1295" w:rsidP="00A905EE">
            <w:pPr>
              <w:jc w:val="center"/>
              <w:rPr>
                <w:rFonts w:asciiTheme="minorHAnsi" w:hAnsiTheme="minorHAnsi" w:cs="Arial"/>
                <w:b/>
                <w:sz w:val="22"/>
                <w:szCs w:val="22"/>
              </w:rPr>
            </w:pPr>
          </w:p>
          <w:p w:rsidR="00BE1295" w:rsidRPr="000475BF" w:rsidRDefault="00BE1295" w:rsidP="00A905EE">
            <w:pPr>
              <w:jc w:val="center"/>
              <w:rPr>
                <w:rFonts w:asciiTheme="minorHAnsi" w:hAnsiTheme="minorHAnsi" w:cs="Arial"/>
                <w:b/>
                <w:sz w:val="22"/>
                <w:szCs w:val="22"/>
              </w:rPr>
            </w:pPr>
            <w:r w:rsidRPr="000475BF">
              <w:rPr>
                <w:rFonts w:asciiTheme="minorHAnsi" w:hAnsiTheme="minorHAnsi" w:cs="Arial"/>
                <w:b/>
                <w:sz w:val="22"/>
                <w:szCs w:val="22"/>
              </w:rPr>
              <w:t>Fail</w:t>
            </w:r>
          </w:p>
          <w:p w:rsidR="00BE1295" w:rsidRPr="000475BF" w:rsidRDefault="00BE1295" w:rsidP="00A905EE">
            <w:pPr>
              <w:jc w:val="center"/>
              <w:rPr>
                <w:rFonts w:asciiTheme="minorHAnsi" w:hAnsiTheme="minorHAnsi" w:cs="Arial"/>
                <w:b/>
                <w:sz w:val="22"/>
                <w:szCs w:val="22"/>
              </w:rPr>
            </w:pPr>
            <w:r w:rsidRPr="000475BF">
              <w:rPr>
                <w:rFonts w:asciiTheme="minorHAnsi" w:hAnsiTheme="minorHAnsi" w:cs="Arial"/>
                <w:b/>
                <w:sz w:val="22"/>
                <w:szCs w:val="22"/>
              </w:rPr>
              <w:t>(D or E)</w:t>
            </w:r>
          </w:p>
        </w:tc>
        <w:tc>
          <w:tcPr>
            <w:tcW w:w="1842" w:type="dxa"/>
          </w:tcPr>
          <w:p w:rsidR="00BE1295" w:rsidRPr="000475BF" w:rsidRDefault="00BE1295" w:rsidP="00A905EE">
            <w:pPr>
              <w:jc w:val="both"/>
              <w:rPr>
                <w:rFonts w:asciiTheme="minorHAnsi" w:hAnsiTheme="minorHAnsi" w:cs="Arial"/>
                <w:sz w:val="22"/>
                <w:szCs w:val="22"/>
              </w:rPr>
            </w:pPr>
          </w:p>
        </w:tc>
        <w:tc>
          <w:tcPr>
            <w:tcW w:w="5165" w:type="dxa"/>
          </w:tcPr>
          <w:p w:rsidR="00BE1295" w:rsidRDefault="00BE1295" w:rsidP="00A905EE">
            <w:pPr>
              <w:autoSpaceDE w:val="0"/>
              <w:autoSpaceDN w:val="0"/>
              <w:adjustRightInd w:val="0"/>
              <w:rPr>
                <w:rFonts w:asciiTheme="minorHAnsi" w:hAnsiTheme="minorHAnsi" w:cs="Calibri"/>
                <w:sz w:val="22"/>
                <w:szCs w:val="22"/>
                <w:lang w:val="en-US"/>
              </w:rPr>
            </w:pPr>
          </w:p>
          <w:p w:rsidR="00BE1295" w:rsidRPr="000475BF" w:rsidRDefault="00BE1295" w:rsidP="00A905EE">
            <w:pPr>
              <w:autoSpaceDE w:val="0"/>
              <w:autoSpaceDN w:val="0"/>
              <w:adjustRightInd w:val="0"/>
              <w:rPr>
                <w:rFonts w:asciiTheme="minorHAnsi" w:hAnsiTheme="minorHAnsi" w:cs="Calibri"/>
                <w:sz w:val="22"/>
                <w:szCs w:val="22"/>
                <w:lang w:val="en-US"/>
              </w:rPr>
            </w:pPr>
            <w:r w:rsidRPr="000475BF">
              <w:rPr>
                <w:rFonts w:asciiTheme="minorHAnsi" w:hAnsiTheme="minorHAnsi" w:cs="Calibri"/>
                <w:sz w:val="22"/>
                <w:szCs w:val="22"/>
                <w:lang w:val="en-US"/>
              </w:rPr>
              <w:t>Work lacks breadth and depth. Understanding and</w:t>
            </w:r>
          </w:p>
          <w:p w:rsidR="00BE1295" w:rsidRPr="000475BF" w:rsidRDefault="00BE1295" w:rsidP="00A905EE">
            <w:pPr>
              <w:autoSpaceDE w:val="0"/>
              <w:autoSpaceDN w:val="0"/>
              <w:adjustRightInd w:val="0"/>
              <w:rPr>
                <w:rFonts w:asciiTheme="minorHAnsi" w:hAnsiTheme="minorHAnsi" w:cs="Calibri"/>
                <w:sz w:val="22"/>
                <w:szCs w:val="22"/>
                <w:lang w:val="en-US"/>
              </w:rPr>
            </w:pPr>
            <w:proofErr w:type="gramStart"/>
            <w:r w:rsidRPr="000475BF">
              <w:rPr>
                <w:rFonts w:asciiTheme="minorHAnsi" w:hAnsiTheme="minorHAnsi" w:cs="Calibri"/>
                <w:sz w:val="22"/>
                <w:szCs w:val="22"/>
                <w:lang w:val="en-US"/>
              </w:rPr>
              <w:t>coverage</w:t>
            </w:r>
            <w:proofErr w:type="gramEnd"/>
            <w:r w:rsidRPr="000475BF">
              <w:rPr>
                <w:rFonts w:asciiTheme="minorHAnsi" w:hAnsiTheme="minorHAnsi" w:cs="Calibri"/>
                <w:sz w:val="22"/>
                <w:szCs w:val="22"/>
                <w:lang w:val="en-US"/>
              </w:rPr>
              <w:t xml:space="preserve"> inadequate. Poor attempt at interpretation.</w:t>
            </w:r>
          </w:p>
          <w:p w:rsidR="00BE1295" w:rsidRPr="000475BF" w:rsidRDefault="00BE1295" w:rsidP="00A905EE">
            <w:pPr>
              <w:jc w:val="both"/>
              <w:rPr>
                <w:rFonts w:asciiTheme="minorHAnsi" w:hAnsiTheme="minorHAnsi" w:cs="Arial"/>
                <w:sz w:val="22"/>
                <w:szCs w:val="22"/>
              </w:rPr>
            </w:pPr>
            <w:r w:rsidRPr="000475BF">
              <w:rPr>
                <w:rFonts w:asciiTheme="minorHAnsi" w:hAnsiTheme="minorHAnsi" w:cs="Calibri"/>
                <w:sz w:val="22"/>
                <w:szCs w:val="22"/>
                <w:lang w:val="en-US"/>
              </w:rPr>
              <w:t>Thesis poorly presented</w:t>
            </w:r>
            <w:r w:rsidRPr="000475BF">
              <w:rPr>
                <w:rFonts w:asciiTheme="minorHAnsi" w:hAnsiTheme="minorHAnsi" w:cs="Arial"/>
                <w:sz w:val="22"/>
                <w:szCs w:val="22"/>
              </w:rPr>
              <w:t>.</w:t>
            </w:r>
          </w:p>
        </w:tc>
      </w:tr>
    </w:tbl>
    <w:p w:rsidR="00E50597" w:rsidRDefault="00E50597" w:rsidP="00BE1295">
      <w:pPr>
        <w:rPr>
          <w:i/>
        </w:rPr>
      </w:pPr>
    </w:p>
    <w:p w:rsidR="00BE1295" w:rsidRDefault="00BE1295" w:rsidP="00E50597">
      <w:pPr>
        <w:tabs>
          <w:tab w:val="left" w:pos="709"/>
        </w:tabs>
      </w:pPr>
      <w:r w:rsidRPr="000E3C2E">
        <w:rPr>
          <w:i/>
        </w:rPr>
        <w:t>Note</w:t>
      </w:r>
      <w:r w:rsidR="00E50597">
        <w:t>.</w:t>
      </w:r>
      <w:r w:rsidR="00E50597">
        <w:tab/>
      </w:r>
      <w:r>
        <w:t>Additional Department/School guidelines may also be provided.</w:t>
      </w:r>
    </w:p>
    <w:p w:rsidR="00E50597" w:rsidRDefault="00E50597" w:rsidP="00AA7606">
      <w:pPr>
        <w:tabs>
          <w:tab w:val="left" w:pos="709"/>
        </w:tabs>
        <w:ind w:left="709"/>
      </w:pPr>
      <w:r>
        <w:tab/>
        <w:t xml:space="preserve">Where the Master’s degree is being completed “by thesis only” </w:t>
      </w:r>
      <w:r w:rsidR="00AA7606">
        <w:t>the degree will normally be awarded with Distinction where a final grade within the A range is awarded to the thesis</w:t>
      </w:r>
    </w:p>
    <w:p w:rsidR="00523FE0" w:rsidRDefault="00523FE0"/>
    <w:sectPr w:rsidR="00523FE0" w:rsidSect="00523F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B24E5"/>
    <w:multiLevelType w:val="singleLevel"/>
    <w:tmpl w:val="1B805546"/>
    <w:lvl w:ilvl="0">
      <w:start w:val="1"/>
      <w:numFmt w:val="decimal"/>
      <w:lvlText w:val="%1."/>
      <w:legacy w:legacy="1" w:legacySpace="0" w:legacyIndent="1"/>
      <w:lvlJc w:val="left"/>
      <w:pPr>
        <w:ind w:left="1" w:hanging="1"/>
      </w:pPr>
      <w:rPr>
        <w:rFonts w:ascii="Times New Roman" w:hAnsi="Times New Roman" w:cs="Times New Roman" w:hint="default"/>
      </w:rPr>
    </w:lvl>
  </w:abstractNum>
  <w:abstractNum w:abstractNumId="1">
    <w:nsid w:val="2F3B1B76"/>
    <w:multiLevelType w:val="hybridMultilevel"/>
    <w:tmpl w:val="46905AB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1295"/>
    <w:rsid w:val="000A1F52"/>
    <w:rsid w:val="000D7FEF"/>
    <w:rsid w:val="001A52D9"/>
    <w:rsid w:val="002A79B4"/>
    <w:rsid w:val="0048716C"/>
    <w:rsid w:val="004F25B6"/>
    <w:rsid w:val="00523FE0"/>
    <w:rsid w:val="005333E0"/>
    <w:rsid w:val="00572285"/>
    <w:rsid w:val="00622F69"/>
    <w:rsid w:val="006D7E37"/>
    <w:rsid w:val="00817833"/>
    <w:rsid w:val="008B20B6"/>
    <w:rsid w:val="00A64C18"/>
    <w:rsid w:val="00AA7606"/>
    <w:rsid w:val="00BE1295"/>
    <w:rsid w:val="00D250B1"/>
    <w:rsid w:val="00E50597"/>
    <w:rsid w:val="00E87CCE"/>
    <w:rsid w:val="00F53FD8"/>
    <w:rsid w:val="00F835F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95"/>
    <w:pPr>
      <w:spacing w:after="0" w:line="240" w:lineRule="auto"/>
    </w:pPr>
    <w:rPr>
      <w:rFonts w:ascii="Times New Roman" w:eastAsia="Times New Roman" w:hAnsi="Times New Roman" w:cs="Times New Roman"/>
      <w:sz w:val="24"/>
      <w:szCs w:val="24"/>
      <w:lang w:val="en-AU"/>
    </w:rPr>
  </w:style>
  <w:style w:type="paragraph" w:styleId="Heading3">
    <w:name w:val="heading 3"/>
    <w:basedOn w:val="Normal"/>
    <w:next w:val="Normal"/>
    <w:link w:val="Heading3Char"/>
    <w:semiHidden/>
    <w:unhideWhenUsed/>
    <w:qFormat/>
    <w:rsid w:val="00BE12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E1295"/>
    <w:rPr>
      <w:rFonts w:asciiTheme="majorHAnsi" w:eastAsiaTheme="majorEastAsia" w:hAnsiTheme="majorHAnsi" w:cstheme="majorBidi"/>
      <w:b/>
      <w:bCs/>
      <w:color w:val="4F81BD" w:themeColor="accent1"/>
      <w:sz w:val="24"/>
      <w:szCs w:val="24"/>
      <w:lang w:val="en-AU"/>
    </w:rPr>
  </w:style>
  <w:style w:type="character" w:styleId="Hyperlink">
    <w:name w:val="Hyperlink"/>
    <w:basedOn w:val="DefaultParagraphFont"/>
    <w:rsid w:val="00BE1295"/>
    <w:rPr>
      <w:color w:val="0000FF"/>
      <w:u w:val="single"/>
    </w:rPr>
  </w:style>
  <w:style w:type="table" w:styleId="TableGrid">
    <w:name w:val="Table Grid"/>
    <w:basedOn w:val="TableNormal"/>
    <w:rsid w:val="00BE1295"/>
    <w:pPr>
      <w:spacing w:after="0" w:line="240" w:lineRule="auto"/>
    </w:pPr>
    <w:rPr>
      <w:rFonts w:ascii="Times New Roman" w:eastAsia="Times New Roman" w:hAnsi="Times New Roman" w:cs="Times New Roman"/>
      <w:sz w:val="20"/>
      <w:szCs w:val="20"/>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1295"/>
    <w:pPr>
      <w:ind w:left="720"/>
    </w:pPr>
    <w:rPr>
      <w:rFonts w:ascii="Calibri" w:eastAsiaTheme="minorHAnsi" w:hAnsi="Calibri"/>
      <w:sz w:val="22"/>
      <w:szCs w:val="22"/>
      <w:lang w:val="en-NZ" w:eastAsia="en-NZ"/>
    </w:rPr>
  </w:style>
  <w:style w:type="paragraph" w:customStyle="1" w:styleId="TitleSecondary">
    <w:name w:val="Title Secondary"/>
    <w:basedOn w:val="Normal"/>
    <w:rsid w:val="00BE1295"/>
    <w:rPr>
      <w:rFonts w:ascii="Verdana" w:hAnsi="Verdana"/>
      <w:sz w:val="28"/>
      <w:szCs w:val="20"/>
    </w:rPr>
  </w:style>
  <w:style w:type="paragraph" w:customStyle="1" w:styleId="level1">
    <w:name w:val="_level1"/>
    <w:rsid w:val="00BE12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 w:hanging="360"/>
    </w:pPr>
    <w:rPr>
      <w:rFonts w:ascii="Times New Roman" w:eastAsia="Times New Roman" w:hAnsi="Times New Roman" w:cs="Times New Roman"/>
      <w:sz w:val="24"/>
      <w:szCs w:val="24"/>
      <w:lang w:val="en-AU" w:eastAsia="en-GB"/>
    </w:rPr>
  </w:style>
  <w:style w:type="paragraph" w:styleId="PlainText">
    <w:name w:val="Plain Text"/>
    <w:basedOn w:val="Normal"/>
    <w:link w:val="PlainTextChar"/>
    <w:uiPriority w:val="99"/>
    <w:unhideWhenUsed/>
    <w:rsid w:val="008B20B6"/>
    <w:rPr>
      <w:rFonts w:ascii="Calibri" w:eastAsiaTheme="minorHAnsi" w:hAnsi="Calibri" w:cstheme="minorBidi"/>
      <w:sz w:val="22"/>
      <w:szCs w:val="21"/>
      <w:lang w:val="en-NZ"/>
    </w:rPr>
  </w:style>
  <w:style w:type="character" w:customStyle="1" w:styleId="PlainTextChar">
    <w:name w:val="Plain Text Char"/>
    <w:basedOn w:val="DefaultParagraphFont"/>
    <w:link w:val="PlainText"/>
    <w:uiPriority w:val="99"/>
    <w:rsid w:val="008B20B6"/>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95"/>
    <w:pPr>
      <w:spacing w:after="0" w:line="240" w:lineRule="auto"/>
    </w:pPr>
    <w:rPr>
      <w:rFonts w:ascii="Times New Roman" w:eastAsia="Times New Roman" w:hAnsi="Times New Roman" w:cs="Times New Roman"/>
      <w:sz w:val="24"/>
      <w:szCs w:val="24"/>
      <w:lang w:val="en-AU"/>
    </w:rPr>
  </w:style>
  <w:style w:type="paragraph" w:styleId="Heading3">
    <w:name w:val="heading 3"/>
    <w:basedOn w:val="Normal"/>
    <w:next w:val="Normal"/>
    <w:link w:val="Heading3Char"/>
    <w:semiHidden/>
    <w:unhideWhenUsed/>
    <w:qFormat/>
    <w:rsid w:val="00BE12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E1295"/>
    <w:rPr>
      <w:rFonts w:asciiTheme="majorHAnsi" w:eastAsiaTheme="majorEastAsia" w:hAnsiTheme="majorHAnsi" w:cstheme="majorBidi"/>
      <w:b/>
      <w:bCs/>
      <w:color w:val="4F81BD" w:themeColor="accent1"/>
      <w:sz w:val="24"/>
      <w:szCs w:val="24"/>
      <w:lang w:val="en-AU"/>
    </w:rPr>
  </w:style>
  <w:style w:type="character" w:styleId="Hyperlink">
    <w:name w:val="Hyperlink"/>
    <w:basedOn w:val="DefaultParagraphFont"/>
    <w:rsid w:val="00BE1295"/>
    <w:rPr>
      <w:color w:val="0000FF"/>
      <w:u w:val="single"/>
    </w:rPr>
  </w:style>
  <w:style w:type="table" w:styleId="TableGrid">
    <w:name w:val="Table Grid"/>
    <w:basedOn w:val="TableNormal"/>
    <w:rsid w:val="00BE1295"/>
    <w:pPr>
      <w:spacing w:after="0" w:line="240" w:lineRule="auto"/>
    </w:pPr>
    <w:rPr>
      <w:rFonts w:ascii="Times New Roman" w:eastAsia="Times New Roman" w:hAnsi="Times New Roman" w:cs="Times New Roman"/>
      <w:sz w:val="20"/>
      <w:szCs w:val="20"/>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1295"/>
    <w:pPr>
      <w:ind w:left="720"/>
    </w:pPr>
    <w:rPr>
      <w:rFonts w:ascii="Calibri" w:eastAsiaTheme="minorHAnsi" w:hAnsi="Calibri"/>
      <w:sz w:val="22"/>
      <w:szCs w:val="22"/>
      <w:lang w:val="en-NZ" w:eastAsia="en-NZ"/>
    </w:rPr>
  </w:style>
  <w:style w:type="paragraph" w:customStyle="1" w:styleId="TitleSecondary">
    <w:name w:val="Title Secondary"/>
    <w:basedOn w:val="Normal"/>
    <w:rsid w:val="00BE1295"/>
    <w:rPr>
      <w:rFonts w:ascii="Verdana" w:hAnsi="Verdana"/>
      <w:sz w:val="28"/>
      <w:szCs w:val="20"/>
    </w:rPr>
  </w:style>
  <w:style w:type="paragraph" w:customStyle="1" w:styleId="level1">
    <w:name w:val="_level1"/>
    <w:rsid w:val="00BE12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 w:hanging="360"/>
    </w:pPr>
    <w:rPr>
      <w:rFonts w:ascii="Times New Roman" w:eastAsia="Times New Roman" w:hAnsi="Times New Roman" w:cs="Times New Roman"/>
      <w:sz w:val="24"/>
      <w:szCs w:val="24"/>
      <w:lang w:val="en-AU"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nterbury.ac.nz/ucpolicy/index.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graduate-office@canterbury.ac.nz" TargetMode="External"/><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2</cp:revision>
  <dcterms:created xsi:type="dcterms:W3CDTF">2014-02-16T18:38:00Z</dcterms:created>
  <dcterms:modified xsi:type="dcterms:W3CDTF">2014-02-16T18:38:00Z</dcterms:modified>
</cp:coreProperties>
</file>