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PROPOSITION DE PRESTATION LOGISTIQUE</w:t>
      </w:r>
    </w:p>
    <w:p>
      <w:pPr>
        <w:pStyle w:val="Heading1"/>
      </w:pPr>
      <w:r>
        <w:t>Stockage — Préparation de commandes — Expédition — Domiciliation</w:t>
      </w:r>
    </w:p>
    <w:p>
      <w:pPr>
        <w:pStyle w:val="Heading2"/>
      </w:pPr>
      <w:r>
        <w:t>Entrepôt Teatower — Baillonville (Zone d'Activités Nord 33, 5377 Baillonville)</w:t>
      </w:r>
    </w:p>
    <w:p>
      <w:r/>
      <w:r>
        <w:rPr>
          <w:b/>
        </w:rPr>
        <w:t>Prestataire :</w:t>
      </w:r>
      <w:r>
        <w:t xml:space="preserve"> TEATOWER SA — Entrepôt de Baillonville</w:t>
      </w:r>
    </w:p>
    <w:p>
      <w:r/>
      <w:r>
        <w:rPr>
          <w:b/>
        </w:rPr>
        <w:t>Destinataire :</w:t>
      </w:r>
      <w:r>
        <w:t xml:space="preserve"> PREMIUM SERVICES — Maverick Woyaffe (société en cours de constitution — reprise des actifs Distrimarks)</w:t>
      </w:r>
    </w:p>
    <w:p>
      <w:r/>
      <w:r>
        <w:rPr>
          <w:b/>
        </w:rPr>
        <w:t>Date :</w:t>
      </w:r>
      <w:r>
        <w:t xml:space="preserve"> 30/06/2026</w:t>
      </w:r>
    </w:p>
    <w:p>
      <w:r/>
      <w:r>
        <w:rPr>
          <w:b/>
        </w:rPr>
        <w:t>Validité de l'offre :</w:t>
      </w:r>
      <w:r>
        <w:t xml:space="preserve"> 30 jours</w:t>
      </w:r>
    </w:p>
    <w:p>
      <w:pPr>
        <w:ind w:left="280"/>
      </w:pPr>
      <w:r>
        <w:rPr>
          <w:i/>
          <w:color w:val="555555"/>
        </w:rPr>
        <w:t>Tous les prix sont indiqués **HTVA**. TVA belge 21 % applicable.</w:t>
      </w:r>
    </w:p>
    <w:p>
      <w:pPr>
        <w:ind w:left="280"/>
      </w:pPr>
      <w:r>
        <w:rPr>
          <w:i/>
          <w:color w:val="555555"/>
        </w:rPr>
        <w:t>Prestations gérées et tracées via la plateforme **Odoo Teatower** — accès en lecture temps réel au stock pour le Client.</w:t>
      </w:r>
    </w:p>
    <w:p>
      <w:pPr>
        <w:pStyle w:val="Heading1"/>
      </w:pPr>
      <w:r>
        <w:t>1. STOCKAGE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Prestation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Unité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Prix unitaire</w:t>
            </w:r>
          </w:p>
        </w:tc>
      </w:tr>
      <w:tr>
        <w:tc>
          <w:tcPr>
            <w:tcW w:type="dxa" w:w="2880"/>
          </w:tcPr>
          <w:p>
            <w:r>
              <w:t>Stockage palette standard (≤ 1,2 × 0,8 m, ≤ 800 kg)</w:t>
            </w:r>
          </w:p>
        </w:tc>
        <w:tc>
          <w:tcPr>
            <w:tcW w:type="dxa" w:w="2880"/>
          </w:tcPr>
          <w:p>
            <w:r>
              <w:t>par palette / mois</w:t>
            </w:r>
          </w:p>
        </w:tc>
        <w:tc>
          <w:tcPr>
            <w:tcW w:type="dxa" w:w="2880"/>
          </w:tcPr>
          <w:p>
            <w:r>
              <w:t>10,00 €</w:t>
            </w:r>
          </w:p>
        </w:tc>
      </w:tr>
      <w:tr>
        <w:tc>
          <w:tcPr>
            <w:tcW w:type="dxa" w:w="2880"/>
          </w:tcPr>
          <w:p>
            <w:r>
              <w:t>Stockage palette double hauteur / hors gabarit</w:t>
            </w:r>
          </w:p>
        </w:tc>
        <w:tc>
          <w:tcPr>
            <w:tcW w:type="dxa" w:w="2880"/>
          </w:tcPr>
          <w:p>
            <w:r>
              <w:t>par emplacement / mois</w:t>
            </w:r>
          </w:p>
        </w:tc>
        <w:tc>
          <w:tcPr>
            <w:tcW w:type="dxa" w:w="2880"/>
          </w:tcPr>
          <w:p>
            <w:r>
              <w:t>14,00 €</w:t>
            </w:r>
          </w:p>
        </w:tc>
      </w:tr>
      <w:tr>
        <w:tc>
          <w:tcPr>
            <w:tcW w:type="dxa" w:w="2880"/>
          </w:tcPr>
          <w:p>
            <w:r>
              <w:t>Forfait gestion Odoo mensuel (suivi stock, traçabilité, rapport, facturation)</w:t>
            </w:r>
          </w:p>
        </w:tc>
        <w:tc>
          <w:tcPr>
            <w:tcW w:type="dxa" w:w="2880"/>
          </w:tcPr>
          <w:p>
            <w:r>
              <w:t>forfait / mois</w:t>
            </w:r>
          </w:p>
        </w:tc>
        <w:tc>
          <w:tcPr>
            <w:tcW w:type="dxa" w:w="2880"/>
          </w:tcPr>
          <w:p>
            <w:r>
              <w:t>25,00 €</w:t>
            </w:r>
          </w:p>
        </w:tc>
      </w:tr>
    </w:tbl>
    <w:p/>
    <w:p>
      <w:r>
        <w:t xml:space="preserve">Facturation du stock au </w:t>
      </w:r>
      <w:r>
        <w:rPr>
          <w:b/>
        </w:rPr>
        <w:t>dernier jour de chaque mois civil</w:t>
      </w:r>
      <w:r>
        <w:t xml:space="preserve"> (nombre de palettes présentes).</w:t>
      </w:r>
    </w:p>
    <w:p>
      <w:pPr>
        <w:pStyle w:val="Heading1"/>
      </w:pPr>
      <w:r>
        <w:t>2. RÉCEPTION &amp; MOUVEMENTS DE STOCK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Prestation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Unité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Prix unitaire</w:t>
            </w:r>
          </w:p>
        </w:tc>
      </w:tr>
      <w:tr>
        <w:tc>
          <w:tcPr>
            <w:tcW w:type="dxa" w:w="2880"/>
          </w:tcPr>
          <w:p>
            <w:r>
              <w:t>Réception &amp; mise en stock (contrôle + validation PO + rangement)</w:t>
            </w:r>
          </w:p>
        </w:tc>
        <w:tc>
          <w:tcPr>
            <w:tcW w:type="dxa" w:w="2880"/>
          </w:tcPr>
          <w:p>
            <w:r>
              <w:t>par palette reçue</w:t>
            </w:r>
          </w:p>
        </w:tc>
        <w:tc>
          <w:tcPr>
            <w:tcW w:type="dxa" w:w="2880"/>
          </w:tcPr>
          <w:p>
            <w:r>
              <w:t>6,00 €</w:t>
            </w:r>
          </w:p>
        </w:tc>
      </w:tr>
      <w:tr>
        <w:tc>
          <w:tcPr>
            <w:tcW w:type="dxa" w:w="2880"/>
          </w:tcPr>
          <w:p>
            <w:r>
              <w:t>Sortie palette complète</w:t>
            </w:r>
          </w:p>
        </w:tc>
        <w:tc>
          <w:tcPr>
            <w:tcW w:type="dxa" w:w="2880"/>
          </w:tcPr>
          <w:p>
            <w:r>
              <w:t>par palette</w:t>
            </w:r>
          </w:p>
        </w:tc>
        <w:tc>
          <w:tcPr>
            <w:tcW w:type="dxa" w:w="2880"/>
          </w:tcPr>
          <w:p>
            <w:r>
              <w:t>6,00 €</w:t>
            </w:r>
          </w:p>
        </w:tc>
      </w:tr>
      <w:tr>
        <w:tc>
          <w:tcPr>
            <w:tcW w:type="dxa" w:w="2880"/>
          </w:tcPr>
          <w:p>
            <w:r>
              <w:t>Reconditionnement / ré-étiquetage</w:t>
            </w:r>
          </w:p>
        </w:tc>
        <w:tc>
          <w:tcPr>
            <w:tcW w:type="dxa" w:w="2880"/>
          </w:tcPr>
          <w:p>
            <w:r>
              <w:t>par heure</w:t>
            </w:r>
          </w:p>
        </w:tc>
        <w:tc>
          <w:tcPr>
            <w:tcW w:type="dxa" w:w="2880"/>
          </w:tcPr>
          <w:p>
            <w:r>
              <w:t>30,00 €</w:t>
            </w:r>
          </w:p>
        </w:tc>
      </w:tr>
    </w:tbl>
    <w:p/>
    <w:p>
      <w:r>
        <w:t>Chaque entrée fait l'objet d'un bon de réception, chaque sortie d'un ordre de transfert : audit trail complet dans Odoo, rapport mensuel joint à la facture.</w:t>
      </w:r>
    </w:p>
    <w:p>
      <w:pPr>
        <w:pStyle w:val="Heading1"/>
      </w:pPr>
      <w:r>
        <w:t>3. PRÉPARATION DE COMMANDES (PICKING &amp; EMBALLAGE)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Prestation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Unité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Prix unitaire</w:t>
            </w:r>
          </w:p>
        </w:tc>
      </w:tr>
      <w:tr>
        <w:tc>
          <w:tcPr>
            <w:tcW w:type="dxa" w:w="2880"/>
          </w:tcPr>
          <w:p>
            <w:r>
              <w:t>Préparation commande (picking + emballage standard inclus, quel que soit le nombre de lignes)</w:t>
            </w:r>
          </w:p>
        </w:tc>
        <w:tc>
          <w:tcPr>
            <w:tcW w:type="dxa" w:w="2880"/>
          </w:tcPr>
          <w:p>
            <w:r>
              <w:t>par colis expédié</w:t>
            </w:r>
          </w:p>
        </w:tc>
        <w:tc>
          <w:tcPr>
            <w:tcW w:type="dxa" w:w="2880"/>
          </w:tcPr>
          <w:p>
            <w:r>
              <w:t>2,50 €</w:t>
            </w:r>
          </w:p>
        </w:tc>
      </w:tr>
      <w:tr>
        <w:tc>
          <w:tcPr>
            <w:tcW w:type="dxa" w:w="2880"/>
          </w:tcPr>
          <w:p>
            <w:r>
              <w:t>Préparation au temps (commandes complexes, kitting, assortiments)</w:t>
            </w:r>
          </w:p>
        </w:tc>
        <w:tc>
          <w:tcPr>
            <w:tcW w:type="dxa" w:w="2880"/>
          </w:tcPr>
          <w:p>
            <w:r>
              <w:t>par heure</w:t>
            </w:r>
          </w:p>
        </w:tc>
        <w:tc>
          <w:tcPr>
            <w:tcW w:type="dxa" w:w="2880"/>
          </w:tcPr>
          <w:p>
            <w:r>
              <w:t>28,00 €</w:t>
            </w:r>
          </w:p>
        </w:tc>
      </w:tr>
      <w:tr>
        <w:tc>
          <w:tcPr>
            <w:tcW w:type="dxa" w:w="2880"/>
          </w:tcPr>
          <w:p>
            <w:r>
              <w:t>Consommables d'emballage — colis S / M / L</w:t>
            </w:r>
          </w:p>
        </w:tc>
        <w:tc>
          <w:tcPr>
            <w:tcW w:type="dxa" w:w="2880"/>
          </w:tcPr>
          <w:p>
            <w:r>
              <w:t>par colis</w:t>
            </w:r>
          </w:p>
        </w:tc>
        <w:tc>
          <w:tcPr>
            <w:tcW w:type="dxa" w:w="2880"/>
          </w:tcPr>
          <w:p>
            <w:r>
              <w:t>0,50 / 0,80 / 1,20 €</w:t>
            </w:r>
          </w:p>
        </w:tc>
      </w:tr>
    </w:tbl>
    <w:p/>
    <w:p>
      <w:pPr>
        <w:ind w:left="280"/>
      </w:pPr>
      <w:r>
        <w:rPr>
          <w:i/>
          <w:color w:val="555555"/>
        </w:rPr>
        <w:t>Modèle simple et lisible pour du e-commerce / B2B : 1 colis « standard » = **3,00 € tout compris** (préparation + carton + calage), hors transport.</w:t>
      </w:r>
    </w:p>
    <w:p>
      <w:pPr>
        <w:pStyle w:val="Heading1"/>
      </w:pPr>
      <w:r>
        <w:t>4. EXPÉDITION</w:t>
      </w:r>
    </w:p>
    <w:p>
      <w:r>
        <w:t xml:space="preserve">Teatower opère ses expéditions via </w:t>
      </w:r>
      <w:r>
        <w:rPr>
          <w:b/>
        </w:rPr>
        <w:t>Sendcloud</w:t>
      </w:r>
      <w:r>
        <w:t xml:space="preserve"> (multi-transporteurs : bpost, DPD, GLS, Colissimo, UPS…), ce qui garantit les meilleurs tarifs négociés et un suivi colis automatisé.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Prestation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Unité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Prix unitaire</w:t>
            </w:r>
          </w:p>
        </w:tc>
      </w:tr>
      <w:tr>
        <w:tc>
          <w:tcPr>
            <w:tcW w:type="dxa" w:w="2880"/>
          </w:tcPr>
          <w:p>
            <w:r>
              <w:t>Coût de transport</w:t>
            </w:r>
          </w:p>
        </w:tc>
        <w:tc>
          <w:tcPr>
            <w:tcW w:type="dxa" w:w="2880"/>
          </w:tcPr>
          <w:p>
            <w:r>
              <w:t>par colis</w:t>
            </w:r>
          </w:p>
        </w:tc>
        <w:tc>
          <w:tcPr>
            <w:tcW w:type="dxa" w:w="2880"/>
          </w:tcPr>
          <w:p>
            <w:r>
              <w:t>refacturé au coût réel transporteur (tarif Sendcloud négocié)</w:t>
            </w:r>
          </w:p>
        </w:tc>
      </w:tr>
      <w:tr>
        <w:tc>
          <w:tcPr>
            <w:tcW w:type="dxa" w:w="2880"/>
          </w:tcPr>
          <w:p>
            <w:r>
              <w:t>Frais de gestion expédition (édition étiquette, remise transporteur, tracking)</w:t>
            </w:r>
          </w:p>
        </w:tc>
        <w:tc>
          <w:tcPr>
            <w:tcW w:type="dxa" w:w="2880"/>
          </w:tcPr>
          <w:p>
            <w:r>
              <w:t>par colis</w:t>
            </w:r>
          </w:p>
        </w:tc>
        <w:tc>
          <w:tcPr>
            <w:tcW w:type="dxa" w:w="2880"/>
          </w:tcPr>
          <w:p>
            <w:r>
              <w:t>1,00 €</w:t>
            </w:r>
          </w:p>
        </w:tc>
      </w:tr>
    </w:tbl>
    <w:p/>
    <w:p>
      <w:pPr>
        <w:ind w:left="280"/>
      </w:pPr>
      <w:r>
        <w:rPr>
          <w:i/>
          <w:color w:val="555555"/>
        </w:rPr>
        <w:t>Le Client bénéficie des tarifs Sendcloud négociés par Teatower, sans marge sur le transport — seuls 1,00 €/colis de gestion s'ajoutent. Suivi des envois et preuves de livraison consultables.</w:t>
      </w:r>
    </w:p>
    <w:p>
      <w:pPr>
        <w:pStyle w:val="Heading1"/>
      </w:pPr>
      <w:r>
        <w:t>5. DOMICILIATION DU SIÈGE SOCIAL</w:t>
      </w:r>
    </w:p>
    <w:p>
      <w:r>
        <w:t xml:space="preserve">Domiciliation de la nouvelle société à l'adresse </w:t>
      </w:r>
      <w:r>
        <w:rPr>
          <w:b/>
        </w:rPr>
        <w:t>Zone d'Activités Nord 33, 5377 Baillonville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Prestation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Unité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Prix</w:t>
            </w:r>
          </w:p>
        </w:tc>
      </w:tr>
      <w:tr>
        <w:tc>
          <w:tcPr>
            <w:tcW w:type="dxa" w:w="2880"/>
          </w:tcPr>
          <w:p>
            <w:r>
              <w:t>Domiciliation siège social (adresse + réception du courrier)</w:t>
            </w:r>
          </w:p>
        </w:tc>
        <w:tc>
          <w:tcPr>
            <w:tcW w:type="dxa" w:w="2880"/>
          </w:tcPr>
          <w:p>
            <w:r>
              <w:t>par mois</w:t>
            </w:r>
          </w:p>
        </w:tc>
        <w:tc>
          <w:tcPr>
            <w:tcW w:type="dxa" w:w="2880"/>
          </w:tcPr>
          <w:p>
            <w:r>
              <w:t>50,00 €</w:t>
            </w:r>
          </w:p>
        </w:tc>
      </w:tr>
      <w:tr>
        <w:tc>
          <w:tcPr>
            <w:tcW w:type="dxa" w:w="2880"/>
          </w:tcPr>
          <w:p>
            <w:r>
              <w:t>Gestion du courrier : réception, scan/notification, mise à disposition</w:t>
            </w:r>
          </w:p>
        </w:tc>
        <w:tc>
          <w:tcPr>
            <w:tcW w:type="dxa" w:w="2880"/>
          </w:tcPr>
          <w:p>
            <w:r>
              <w:t>inclus</w:t>
            </w:r>
          </w:p>
        </w:tc>
        <w:tc>
          <w:tcPr>
            <w:tcW w:type="dxa" w:w="2880"/>
          </w:tcPr>
          <w:p>
            <w:r>
              <w:t>inclus</w:t>
            </w:r>
          </w:p>
        </w:tc>
      </w:tr>
      <w:tr>
        <w:tc>
          <w:tcPr>
            <w:tcW w:type="dxa" w:w="2880"/>
          </w:tcPr>
          <w:p>
            <w:r>
              <w:t>Réexpédition physique du courrier (sur demande)</w:t>
            </w:r>
          </w:p>
        </w:tc>
        <w:tc>
          <w:tcPr>
            <w:tcW w:type="dxa" w:w="2880"/>
          </w:tcPr>
          <w:p>
            <w:r>
              <w:t>par envoi</w:t>
            </w:r>
          </w:p>
        </w:tc>
        <w:tc>
          <w:tcPr>
            <w:tcW w:type="dxa" w:w="2880"/>
          </w:tcPr>
          <w:p>
            <w:r>
              <w:t>au coût d'affranchissement réel</w:t>
            </w:r>
          </w:p>
        </w:tc>
      </w:tr>
    </w:tbl>
    <w:p/>
    <w:p>
      <w:pPr>
        <w:ind w:left="280"/>
      </w:pPr>
      <w:r>
        <w:rPr>
          <w:i/>
          <w:color w:val="555555"/>
        </w:rPr>
        <w:t>**Point juridique à cadrer :** la domiciliation d'un siège social engage Teatower (l'adresse devient le siège statutaire BCE de Premium Services). Elle fait l'objet d'un **contrat de domiciliation distinct** précisant les responsabilités (notamment vis-à-vis de l'administration fiscale et de la BCE). À valider avec Stephan / le comptable avant signature.</w:t>
      </w:r>
    </w:p>
    <w:p>
      <w:pPr>
        <w:pStyle w:val="Heading1"/>
      </w:pPr>
      <w:r>
        <w:t>6. CONDITIONS GÉNÉRALES</w:t>
      </w:r>
    </w:p>
    <w:p>
      <w:pPr>
        <w:pStyle w:val="ListBullet"/>
      </w:pPr>
      <w:r/>
      <w:r>
        <w:rPr>
          <w:b/>
        </w:rPr>
        <w:t>Facturation :</w:t>
      </w:r>
      <w:r>
        <w:t xml:space="preserve"> mensuelle, le dernier jour ouvrable du mois, via Odoo Teatower. Référence `TT-LOG-AAAAMM`.</w:t>
      </w:r>
    </w:p>
    <w:p>
      <w:pPr>
        <w:pStyle w:val="ListBullet"/>
      </w:pPr>
      <w:r/>
      <w:r>
        <w:rPr>
          <w:b/>
        </w:rPr>
        <w:t>Paiement :</w:t>
      </w:r>
      <w:r>
        <w:t xml:space="preserve"> 30 jours fin de mois, par virement.</w:t>
      </w:r>
    </w:p>
    <w:p>
      <w:pPr>
        <w:pStyle w:val="ListBullet"/>
      </w:pPr>
      <w:r/>
      <w:r>
        <w:rPr>
          <w:b/>
        </w:rPr>
        <w:t>Durée :</w:t>
      </w:r>
      <w:r>
        <w:t xml:space="preserve"> contrat à durée indéterminée, préavis de résiliation 30 jours.</w:t>
      </w:r>
    </w:p>
    <w:p>
      <w:pPr>
        <w:pStyle w:val="ListBullet"/>
      </w:pPr>
      <w:r/>
      <w:r>
        <w:rPr>
          <w:b/>
        </w:rPr>
        <w:t>Traçabilité :</w:t>
      </w:r>
      <w:r>
        <w:t xml:space="preserve"> accès lecture Odoo + rapport mensuel de mouvements joint à chaque facture.</w:t>
      </w:r>
    </w:p>
    <w:p>
      <w:pPr>
        <w:pStyle w:val="ListBullet"/>
      </w:pPr>
      <w:r/>
      <w:r>
        <w:rPr>
          <w:b/>
        </w:rPr>
        <w:t>Assurances :</w:t>
      </w:r>
      <w:r>
        <w:t xml:space="preserve"> le Client assure ses marchandises à leur valeur réelle ; Teatower couvre sa RC exploitation.</w:t>
      </w:r>
    </w:p>
    <w:p>
      <w:pPr>
        <w:pStyle w:val="ListBullet"/>
      </w:pPr>
      <w:r/>
      <w:r>
        <w:rPr>
          <w:b/>
        </w:rPr>
        <w:t>Droit applicable :</w:t>
      </w:r>
      <w:r>
        <w:t xml:space="preserve"> droit belge, tribunaux de l'arrondissement de Namur.</w:t>
      </w:r>
    </w:p>
    <w:p>
      <w:pPr>
        <w:pStyle w:val="Heading1"/>
      </w:pPr>
      <w:r>
        <w:t>7. SIMULATION INDICATIVE (exemple à valider selon volumes réels)</w:t>
      </w:r>
    </w:p>
    <w:p>
      <w:r>
        <w:t>Hypothèse : 30 palettes en stock permanent, 10 réceptions/mois, 200 colis e-commerce expédiés/mois (1 colis standard), domiciliation incluse.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Poste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Détail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Montant HTVA</w:t>
            </w:r>
          </w:p>
        </w:tc>
      </w:tr>
      <w:tr>
        <w:tc>
          <w:tcPr>
            <w:tcW w:type="dxa" w:w="2880"/>
          </w:tcPr>
          <w:p>
            <w:r>
              <w:t>Stockage</w:t>
            </w:r>
          </w:p>
        </w:tc>
        <w:tc>
          <w:tcPr>
            <w:tcW w:type="dxa" w:w="2880"/>
          </w:tcPr>
          <w:p>
            <w:r>
              <w:t>30 pal × 10,00 €</w:t>
            </w:r>
          </w:p>
        </w:tc>
        <w:tc>
          <w:tcPr>
            <w:tcW w:type="dxa" w:w="2880"/>
          </w:tcPr>
          <w:p>
            <w:r>
              <w:t>300,00 €</w:t>
            </w:r>
          </w:p>
        </w:tc>
      </w:tr>
      <w:tr>
        <w:tc>
          <w:tcPr>
            <w:tcW w:type="dxa" w:w="2880"/>
          </w:tcPr>
          <w:p>
            <w:r>
              <w:t>Forfait gestion Odoo</w:t>
            </w:r>
          </w:p>
        </w:tc>
        <w:tc>
          <w:tcPr>
            <w:tcW w:type="dxa" w:w="2880"/>
          </w:tcPr>
          <w:p>
            <w:r>
              <w:t>1 × 25,00 €</w:t>
            </w:r>
          </w:p>
        </w:tc>
        <w:tc>
          <w:tcPr>
            <w:tcW w:type="dxa" w:w="2880"/>
          </w:tcPr>
          <w:p>
            <w:r>
              <w:t>25,00 €</w:t>
            </w:r>
          </w:p>
        </w:tc>
      </w:tr>
      <w:tr>
        <w:tc>
          <w:tcPr>
            <w:tcW w:type="dxa" w:w="2880"/>
          </w:tcPr>
          <w:p>
            <w:r>
              <w:t>Réception</w:t>
            </w:r>
          </w:p>
        </w:tc>
        <w:tc>
          <w:tcPr>
            <w:tcW w:type="dxa" w:w="2880"/>
          </w:tcPr>
          <w:p>
            <w:r>
              <w:t>10 pal × 6,00 €</w:t>
            </w:r>
          </w:p>
        </w:tc>
        <w:tc>
          <w:tcPr>
            <w:tcW w:type="dxa" w:w="2880"/>
          </w:tcPr>
          <w:p>
            <w:r>
              <w:t>60,00 €</w:t>
            </w:r>
          </w:p>
        </w:tc>
      </w:tr>
      <w:tr>
        <w:tc>
          <w:tcPr>
            <w:tcW w:type="dxa" w:w="2880"/>
          </w:tcPr>
          <w:p>
            <w:r>
              <w:t>Préparation + emballage colis</w:t>
            </w:r>
          </w:p>
        </w:tc>
        <w:tc>
          <w:tcPr>
            <w:tcW w:type="dxa" w:w="2880"/>
          </w:tcPr>
          <w:p>
            <w:r>
              <w:t>200 × 3,00 €</w:t>
            </w:r>
          </w:p>
        </w:tc>
        <w:tc>
          <w:tcPr>
            <w:tcW w:type="dxa" w:w="2880"/>
          </w:tcPr>
          <w:p>
            <w:r>
              <w:t>600,00 €</w:t>
            </w:r>
          </w:p>
        </w:tc>
      </w:tr>
      <w:tr>
        <w:tc>
          <w:tcPr>
            <w:tcW w:type="dxa" w:w="2880"/>
          </w:tcPr>
          <w:p>
            <w:r>
              <w:t>Gestion expédition</w:t>
            </w:r>
          </w:p>
        </w:tc>
        <w:tc>
          <w:tcPr>
            <w:tcW w:type="dxa" w:w="2880"/>
          </w:tcPr>
          <w:p>
            <w:r>
              <w:t>200 × 1,00 €</w:t>
            </w:r>
          </w:p>
        </w:tc>
        <w:tc>
          <w:tcPr>
            <w:tcW w:type="dxa" w:w="2880"/>
          </w:tcPr>
          <w:p>
            <w:r>
              <w:t>200,00 €</w:t>
            </w:r>
          </w:p>
        </w:tc>
      </w:tr>
      <w:tr>
        <w:tc>
          <w:tcPr>
            <w:tcW w:type="dxa" w:w="2880"/>
          </w:tcPr>
          <w:p>
            <w:r>
              <w:t>Domiciliation</w:t>
            </w:r>
          </w:p>
        </w:tc>
        <w:tc>
          <w:tcPr>
            <w:tcW w:type="dxa" w:w="2880"/>
          </w:tcPr>
          <w:p>
            <w:r>
              <w:t>1 × 50,00 €</w:t>
            </w:r>
          </w:p>
        </w:tc>
        <w:tc>
          <w:tcPr>
            <w:tcW w:type="dxa" w:w="2880"/>
          </w:tcPr>
          <w:p>
            <w:r>
              <w:t>50,00 €</w:t>
            </w:r>
          </w:p>
        </w:tc>
      </w:tr>
      <w:tr>
        <w:tc>
          <w:tcPr>
            <w:tcW w:type="dxa" w:w="2880"/>
          </w:tcPr>
          <w:p>
            <w:r>
              <w:t>Sous-total prestations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1 235,00 € HTVA / mois</w:t>
            </w:r>
          </w:p>
        </w:tc>
      </w:tr>
      <w:tr>
        <w:tc>
          <w:tcPr>
            <w:tcW w:type="dxa" w:w="2880"/>
          </w:tcPr>
          <w:p>
            <w:r>
              <w:t>Transport</w:t>
            </w:r>
          </w:p>
        </w:tc>
        <w:tc>
          <w:tcPr>
            <w:tcW w:type="dxa" w:w="2880"/>
          </w:tcPr>
          <w:p>
            <w:r>
              <w:t>refacturé au coût réel Sendcloud</w:t>
            </w:r>
          </w:p>
        </w:tc>
        <w:tc>
          <w:tcPr>
            <w:tcW w:type="dxa" w:w="2880"/>
          </w:tcPr>
          <w:p>
            <w:r>
              <w:t>(variable)</w:t>
            </w:r>
          </w:p>
        </w:tc>
      </w:tr>
    </w:tbl>
    <w:p/>
    <w:p>
      <w:pPr>
        <w:ind w:left="280"/>
      </w:pPr>
      <w:r>
        <w:rPr>
          <w:i/>
          <w:color w:val="555555"/>
        </w:rPr>
        <w:t>Hors transport, qui dépend des poids/destinations et est refacturé sans marge.</w:t>
      </w:r>
    </w:p>
    <w:p>
      <w:pPr>
        <w:ind w:left="280"/>
      </w:pPr>
      <w:r>
        <w:rPr>
          <w:i/>
          <w:color w:val="555555"/>
        </w:rPr>
        <w:t>Cette simulation est ajustable dès que les volumes réels (palettes, colis/mois, poids moyen) sont connus.</w:t>
      </w:r>
    </w:p>
    <w:p>
      <w:r>
        <w:t>*Offre établie sur la base du modèle logistique Teatower. Tarifs révisables annuellement au 1er janvier. Pour toute question : [contact Teatower].*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