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BRIEF LOGISTIQUE — ENTREPÔT OPALYA</w:t>
      </w:r>
    </w:p>
    <w:p>
      <w:pPr>
        <w:jc w:val="center"/>
      </w:pPr>
      <w:r>
        <w:rPr>
          <w:color w:val="707070"/>
          <w:sz w:val="20"/>
        </w:rPr>
        <w:t>Baillonville  |  Client facturé : Terracotta Beauty SRL (BE0782993304) — marque Opalya  |  Odoo Teatower</w:t>
      </w:r>
    </w:p>
    <w:p/>
    <w:p>
      <w:pPr>
        <w:pStyle w:val="Heading2"/>
      </w:pPr>
      <w:r>
        <w:rPr>
          <w:color w:val="2E74B5"/>
          <w:sz w:val="26"/>
        </w:rPr>
        <w:t>1. CONTEXTE</w:t>
      </w:r>
    </w:p>
    <w:p>
      <w:r>
        <w:t>Nira Solutions (représentée par Stephan Pire de Vilna Gaon, associé de Teatower) stocke ses palettes et produits dans notre entrepôt de Baillonville. Les palettes Opalya sont stockées dans le pool standard Teatower (zones de picking TT/Stock/PICK/C-XX et TT/Stock/PICK/D-XX), aux emplacements précisés sur chaque fiche produit dans Odoo.</w:t>
      </w:r>
    </w:p>
    <w:p>
      <w:r>
        <w:t>Toutes les opérations (entrées, sorties, pickings) doivent être tracées dans Odoo Teatower. Aucun mouvement physique ne se fait sans document Odoo correspondant.</w:t>
      </w:r>
    </w:p>
    <w:p/>
    <w:tbl>
      <w:tblPr>
        <w:tblStyle w:val="TableGrid"/>
        <w:tblW w:type="auto" w:w="0"/>
        <w:tblLook w:firstColumn="1" w:firstRow="1" w:lastColumn="0" w:lastRow="0" w:noHBand="0" w:noVBand="1" w:val="04A0"/>
      </w:tblPr>
      <w:tblGrid>
        <w:gridCol w:w="8640"/>
      </w:tblGrid>
      <w:tr>
        <w:tc>
          <w:tcPr>
            <w:tcW w:type="dxa" w:w="8640"/>
            <w:shd w:val="clear" w:color="auto" w:fill="FFF2CC"/>
          </w:tcPr>
          <w:p>
            <w:r>
              <w:rPr>
                <w:b/>
                <w:sz w:val="21"/>
              </w:rPr>
              <w:t>⚠  RÈGLE ABSOLUE : Pas de mouvement sans document Odoo validé.</w:t>
            </w:r>
          </w:p>
        </w:tc>
      </w:tr>
    </w:tbl>
    <w:p/>
    <w:p>
      <w:pPr>
        <w:pStyle w:val="Heading2"/>
      </w:pPr>
      <w:r>
        <w:rPr>
          <w:color w:val="2E74B5"/>
          <w:sz w:val="26"/>
        </w:rPr>
        <w:t>2. EMPLACEMENT DANS L'ENTREPÔT</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sz w:val="21"/>
              </w:rPr>
              <w:t>Entrepôt Odoo</w:t>
            </w:r>
          </w:p>
        </w:tc>
        <w:tc>
          <w:tcPr>
            <w:tcW w:type="dxa" w:w="4320"/>
            <w:shd w:val="clear" w:color="auto" w:fill="1F497D"/>
          </w:tcPr>
          <w:p>
            <w:r>
              <w:rPr>
                <w:sz w:val="21"/>
              </w:rPr>
              <w:t>OPALYA</w:t>
            </w:r>
          </w:p>
        </w:tc>
      </w:tr>
      <w:tr>
        <w:tc>
          <w:tcPr>
            <w:tcW w:type="dxa" w:w="4320"/>
            <w:shd w:val="clear" w:color="auto" w:fill="DCE6F1"/>
          </w:tcPr>
          <w:p>
            <w:r>
              <w:rPr>
                <w:b/>
                <w:sz w:val="21"/>
              </w:rPr>
              <w:t>Emplacement de stockage</w:t>
            </w:r>
          </w:p>
        </w:tc>
        <w:tc>
          <w:tcPr>
            <w:tcW w:type="dxa" w:w="4320"/>
            <w:shd w:val="clear" w:color="auto" w:fill="DCE6F1"/>
          </w:tcPr>
          <w:p>
            <w:r>
              <w:rPr>
                <w:sz w:val="21"/>
              </w:rPr>
              <w:t>TT/Stock/PICK/... (pool partagé Teatower)</w:t>
            </w:r>
          </w:p>
        </w:tc>
      </w:tr>
      <w:tr>
        <w:tc>
          <w:tcPr>
            <w:tcW w:type="dxa" w:w="4320"/>
          </w:tcPr>
          <w:p>
            <w:r>
              <w:rPr>
                <w:b/>
                <w:sz w:val="21"/>
              </w:rPr>
              <w:t>Flux de sortie (traçabilité)</w:t>
            </w:r>
          </w:p>
        </w:tc>
        <w:tc>
          <w:tcPr>
            <w:tcW w:type="dxa" w:w="4320"/>
          </w:tcPr>
          <w:p>
            <w:r>
              <w:rPr>
                <w:sz w:val="21"/>
              </w:rPr>
              <w:t>OTHER/Stock</w:t>
            </w:r>
          </w:p>
        </w:tc>
      </w:tr>
    </w:tbl>
    <w:p/>
    <w:p>
      <w:r>
        <w:t>Les emplacements physiques (allée, étagère, niveau) sont précisés sur chaque fiche produit dans Odoo. Respecter scrupuleusement ces affectations.</w:t>
      </w:r>
    </w:p>
    <w:p/>
    <w:p>
      <w:pPr>
        <w:pStyle w:val="Heading2"/>
      </w:pPr>
      <w:r>
        <w:rPr>
          <w:color w:val="2E74B5"/>
          <w:sz w:val="26"/>
        </w:rPr>
        <w:t>3. RÉCEPTION D'UNE LIVRAISON (ENTRÉE EN STOCK)</w:t>
      </w:r>
    </w:p>
    <w:p>
      <w:pPr>
        <w:pStyle w:val="Heading3"/>
      </w:pPr>
      <w:r>
        <w:rPr>
          <w:color w:val="1F497D"/>
          <w:sz w:val="22"/>
        </w:rPr>
        <w:t>Avant la livraison</w:t>
      </w:r>
    </w:p>
    <w:p>
      <w:pPr>
        <w:pStyle w:val="ListBullet"/>
      </w:pPr>
      <w:r>
        <w:t>Vérifier qu'un Purchase Order (PO) existe dans Odoo pour cette livraison.</w:t>
      </w:r>
    </w:p>
    <w:p>
      <w:pPr>
        <w:pStyle w:val="ListBullet"/>
      </w:pPr>
      <w:r>
        <w:t>Si aucun PO → contacter immédiatement le responsable avant de réceptionner.</w:t>
      </w:r>
    </w:p>
    <w:p>
      <w:pPr>
        <w:pStyle w:val="ListBullet"/>
      </w:pPr>
      <w:r>
        <w:t>Identifier l'emplacement de destination indiqué sur le PO (TT/Stock/PICK/... + position fiche produit).</w:t>
      </w:r>
    </w:p>
    <w:p>
      <w:pPr>
        <w:pStyle w:val="Heading3"/>
      </w:pPr>
      <w:r>
        <w:rPr>
          <w:color w:val="1F497D"/>
          <w:sz w:val="22"/>
        </w:rPr>
        <w:t>À la réception physique</w:t>
      </w:r>
    </w:p>
    <w:p>
      <w:pPr>
        <w:pStyle w:val="ListBullet"/>
      </w:pPr>
      <w:r>
        <w:t>Compter les palettes / colis à leur arrivée.</w:t>
      </w:r>
    </w:p>
    <w:p>
      <w:pPr>
        <w:pStyle w:val="ListBullet"/>
      </w:pPr>
      <w:r>
        <w:t>Vérifier la conformité : SKU, quantités, état des produits.</w:t>
      </w:r>
    </w:p>
    <w:p>
      <w:pPr>
        <w:pStyle w:val="ListBullet"/>
      </w:pPr>
      <w:r>
        <w:t>Signaler immédiatement tout écart ou dommage visible au responsable.</w:t>
      </w:r>
    </w:p>
    <w:p>
      <w:pPr>
        <w:pStyle w:val="ListBullet"/>
      </w:pPr>
      <w:r>
        <w:t>Ranger les produits à l'emplacement TT/Stock/PICK/... désigné par la fiche produit Odoo.</w:t>
      </w:r>
    </w:p>
    <w:p>
      <w:pPr>
        <w:pStyle w:val="Heading3"/>
      </w:pPr>
      <w:r>
        <w:rPr>
          <w:color w:val="1F497D"/>
          <w:sz w:val="22"/>
        </w:rPr>
        <w:t>Dans Odoo (obligatoire)</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Action dans Odoo</w:t>
            </w:r>
          </w:p>
        </w:tc>
        <w:tc>
          <w:tcPr>
            <w:tcW w:type="dxa" w:w="4320"/>
            <w:shd w:val="clear" w:color="auto" w:fill="2E74B5"/>
          </w:tcPr>
          <w:p>
            <w:r>
              <w:rPr>
                <w:b/>
                <w:color w:val="FFFFFF"/>
              </w:rPr>
              <w:t>Détail</w:t>
            </w:r>
          </w:p>
        </w:tc>
      </w:tr>
      <w:tr>
        <w:tc>
          <w:tcPr>
            <w:tcW w:type="dxa" w:w="4320"/>
          </w:tcPr>
          <w:p>
            <w:r>
              <w:rPr>
                <w:b/>
                <w:sz w:val="20"/>
              </w:rPr>
              <w:t>Inventaire &gt; Réceptions</w:t>
            </w:r>
          </w:p>
        </w:tc>
        <w:tc>
          <w:tcPr>
            <w:tcW w:type="dxa" w:w="4320"/>
          </w:tcPr>
          <w:p>
            <w:r>
              <w:rPr>
                <w:sz w:val="20"/>
              </w:rPr>
              <w:t>Trouver le PO correspondant</w:t>
            </w:r>
          </w:p>
        </w:tc>
      </w:tr>
      <w:tr>
        <w:tc>
          <w:tcPr>
            <w:tcW w:type="dxa" w:w="4320"/>
            <w:shd w:val="clear" w:color="auto" w:fill="DCE6F1"/>
          </w:tcPr>
          <w:p>
            <w:r>
              <w:rPr>
                <w:b/>
                <w:sz w:val="20"/>
              </w:rPr>
              <w:t>Encoder les quantités réelles reçues</w:t>
            </w:r>
          </w:p>
        </w:tc>
        <w:tc>
          <w:tcPr>
            <w:tcW w:type="dxa" w:w="4320"/>
            <w:shd w:val="clear" w:color="auto" w:fill="DCE6F1"/>
          </w:tcPr>
          <w:p>
            <w:r>
              <w:rPr>
                <w:sz w:val="20"/>
              </w:rPr>
              <w:t>(peut différer du PO si écart)</w:t>
            </w:r>
          </w:p>
        </w:tc>
      </w:tr>
      <w:tr>
        <w:tc>
          <w:tcPr>
            <w:tcW w:type="dxa" w:w="4320"/>
          </w:tcPr>
          <w:p>
            <w:r>
              <w:rPr>
                <w:b/>
                <w:sz w:val="20"/>
              </w:rPr>
              <w:t>Valider la réception</w:t>
            </w:r>
          </w:p>
        </w:tc>
        <w:tc>
          <w:tcPr>
            <w:tcW w:type="dxa" w:w="4320"/>
          </w:tcPr>
          <w:p>
            <w:r>
              <w:rPr>
                <w:sz w:val="20"/>
              </w:rPr>
              <w:t>Le stock est enregistré dans TT/Stock/PICK/...</w:t>
            </w:r>
          </w:p>
        </w:tc>
      </w:tr>
      <w:tr>
        <w:tc>
          <w:tcPr>
            <w:tcW w:type="dxa" w:w="4320"/>
            <w:shd w:val="clear" w:color="auto" w:fill="DCE6F1"/>
          </w:tcPr>
          <w:p>
            <w:r>
              <w:rPr>
                <w:b/>
                <w:sz w:val="20"/>
              </w:rPr>
              <w:t>En cas d'écart</w:t>
            </w:r>
          </w:p>
        </w:tc>
        <w:tc>
          <w:tcPr>
            <w:tcW w:type="dxa" w:w="4320"/>
            <w:shd w:val="clear" w:color="auto" w:fill="DCE6F1"/>
          </w:tcPr>
          <w:p>
            <w:r>
              <w:rPr>
                <w:sz w:val="20"/>
              </w:rPr>
              <w:t>Créer une rétro-livraison partielle ou noter le commentaire</w:t>
            </w:r>
          </w:p>
        </w:tc>
      </w:tr>
    </w:tbl>
    <w:p/>
    <w:tbl>
      <w:tblPr>
        <w:tblStyle w:val="TableGrid"/>
        <w:tblW w:type="auto" w:w="0"/>
        <w:tblLook w:firstColumn="1" w:firstRow="1" w:lastColumn="0" w:lastRow="0" w:noHBand="0" w:noVBand="1" w:val="04A0"/>
      </w:tblPr>
      <w:tblGrid>
        <w:gridCol w:w="8640"/>
      </w:tblGrid>
      <w:tr>
        <w:tc>
          <w:tcPr>
            <w:tcW w:type="dxa" w:w="8640"/>
            <w:shd w:val="clear" w:color="auto" w:fill="E2EFDA"/>
          </w:tcPr>
          <w:p>
            <w:r>
              <w:rPr>
                <w:b/>
                <w:sz w:val="21"/>
              </w:rPr>
              <w:t>✔  Délai max pour valider le PO dans Odoo : 24h ouvrables après réception physique.</w:t>
            </w:r>
          </w:p>
        </w:tc>
      </w:tr>
    </w:tbl>
    <w:p/>
    <w:p>
      <w:pPr>
        <w:pStyle w:val="Heading2"/>
      </w:pPr>
      <w:r>
        <w:rPr>
          <w:color w:val="2E74B5"/>
          <w:sz w:val="26"/>
        </w:rPr>
        <w:t>4. SORTIE / PRÉLÈVEMENT (SORTIE DE STOCK)</w:t>
      </w:r>
    </w:p>
    <w:p>
      <w:pPr>
        <w:pStyle w:val="Heading3"/>
      </w:pPr>
      <w:r>
        <w:rPr>
          <w:color w:val="1F497D"/>
          <w:sz w:val="22"/>
        </w:rPr>
        <w:t>Avant tout prélèvement</w:t>
      </w:r>
    </w:p>
    <w:p>
      <w:pPr>
        <w:pStyle w:val="ListBullet"/>
      </w:pPr>
      <w:r>
        <w:t>Un bon de sortie (ordre de transfert) doit exister dans Odoo, initié par Nira Solutions ou le responsable.</w:t>
      </w:r>
    </w:p>
    <w:p>
      <w:pPr>
        <w:pStyle w:val="ListBullet"/>
      </w:pPr>
      <w:r>
        <w:t>Vérifier les SKU et quantités demandées dans l'ordre de transfert.</w:t>
      </w:r>
    </w:p>
    <w:p>
      <w:pPr>
        <w:pStyle w:val="ListBullet"/>
      </w:pPr>
      <w:r>
        <w:t>Ne jamais prélever sur instruction verbale uniquement.</w:t>
      </w:r>
    </w:p>
    <w:p>
      <w:pPr>
        <w:pStyle w:val="Heading3"/>
      </w:pPr>
      <w:r>
        <w:rPr>
          <w:color w:val="1F497D"/>
          <w:sz w:val="22"/>
        </w:rPr>
        <w:t>Opération physique</w:t>
      </w:r>
    </w:p>
    <w:p>
      <w:pPr>
        <w:pStyle w:val="ListBullet"/>
      </w:pPr>
      <w:r>
        <w:t>Prélever les produits à l'emplacement TT/Stock/PICK/... indiqué dans l'ordre de transfert / fiche produit.</w:t>
      </w:r>
    </w:p>
    <w:p>
      <w:pPr>
        <w:pStyle w:val="ListBullet"/>
      </w:pPr>
      <w:r>
        <w:t>Préparer la commande (picking, conditionnement si demandé).</w:t>
      </w:r>
    </w:p>
    <w:p>
      <w:pPr>
        <w:pStyle w:val="ListBullet"/>
      </w:pPr>
      <w:r>
        <w:t>Préparer l'expédition ou mettre à disposition selon instruction.</w:t>
      </w:r>
    </w:p>
    <w:p>
      <w:pPr>
        <w:pStyle w:val="Heading3"/>
      </w:pPr>
      <w:r>
        <w:rPr>
          <w:color w:val="1F497D"/>
          <w:sz w:val="22"/>
        </w:rPr>
        <w:t>Dans Odoo (obligatoire)</w:t>
      </w:r>
    </w:p>
    <w:tbl>
      <w:tblPr>
        <w:tblStyle w:val="TableGrid"/>
        <w:tblW w:type="auto" w:w="0"/>
        <w:tblLook w:firstColumn="1" w:firstRow="1" w:lastColumn="0" w:lastRow="0" w:noHBand="0" w:noVBand="1" w:val="04A0"/>
      </w:tblPr>
      <w:tblGrid>
        <w:gridCol w:w="4320"/>
        <w:gridCol w:w="4320"/>
      </w:tblGrid>
      <w:tr>
        <w:tc>
          <w:tcPr>
            <w:tcW w:type="dxa" w:w="4320"/>
            <w:shd w:val="clear" w:color="auto" w:fill="2E74B5"/>
          </w:tcPr>
          <w:p>
            <w:r>
              <w:rPr>
                <w:b/>
                <w:color w:val="FFFFFF"/>
              </w:rPr>
              <w:t>Action dans Odoo</w:t>
            </w:r>
          </w:p>
        </w:tc>
        <w:tc>
          <w:tcPr>
            <w:tcW w:type="dxa" w:w="4320"/>
            <w:shd w:val="clear" w:color="auto" w:fill="2E74B5"/>
          </w:tcPr>
          <w:p>
            <w:r>
              <w:rPr>
                <w:b/>
                <w:color w:val="FFFFFF"/>
              </w:rPr>
              <w:t>Détail</w:t>
            </w:r>
          </w:p>
        </w:tc>
      </w:tr>
      <w:tr>
        <w:tc>
          <w:tcPr>
            <w:tcW w:type="dxa" w:w="4320"/>
          </w:tcPr>
          <w:p>
            <w:r>
              <w:rPr>
                <w:b/>
                <w:sz w:val="20"/>
              </w:rPr>
              <w:t>Inventaire &gt; Transferts</w:t>
            </w:r>
          </w:p>
        </w:tc>
        <w:tc>
          <w:tcPr>
            <w:tcW w:type="dxa" w:w="4320"/>
          </w:tcPr>
          <w:p>
            <w:r>
              <w:rPr>
                <w:sz w:val="20"/>
              </w:rPr>
              <w:t>Trouver l'ordre de transfert</w:t>
            </w:r>
          </w:p>
        </w:tc>
      </w:tr>
      <w:tr>
        <w:tc>
          <w:tcPr>
            <w:tcW w:type="dxa" w:w="4320"/>
            <w:shd w:val="clear" w:color="auto" w:fill="DCE6F1"/>
          </w:tcPr>
          <w:p>
            <w:r>
              <w:rPr>
                <w:b/>
                <w:sz w:val="20"/>
              </w:rPr>
              <w:t>Vérifier les lignes</w:t>
            </w:r>
          </w:p>
        </w:tc>
        <w:tc>
          <w:tcPr>
            <w:tcW w:type="dxa" w:w="4320"/>
            <w:shd w:val="clear" w:color="auto" w:fill="DCE6F1"/>
          </w:tcPr>
          <w:p>
            <w:r>
              <w:rPr>
                <w:sz w:val="20"/>
              </w:rPr>
              <w:t>SKU + quantités à sortir</w:t>
            </w:r>
          </w:p>
        </w:tc>
      </w:tr>
      <w:tr>
        <w:tc>
          <w:tcPr>
            <w:tcW w:type="dxa" w:w="4320"/>
          </w:tcPr>
          <w:p>
            <w:r>
              <w:rPr>
                <w:b/>
                <w:sz w:val="20"/>
              </w:rPr>
              <w:t>Valider le transfert</w:t>
            </w:r>
          </w:p>
        </w:tc>
        <w:tc>
          <w:tcPr>
            <w:tcW w:type="dxa" w:w="4320"/>
          </w:tcPr>
          <w:p>
            <w:r>
              <w:rPr>
                <w:sz w:val="20"/>
              </w:rPr>
              <w:t>Le mouvement est enregistré vers OTHER/Stock</w:t>
            </w:r>
          </w:p>
        </w:tc>
      </w:tr>
    </w:tbl>
    <w:p/>
    <w:p>
      <w:pPr>
        <w:pStyle w:val="Heading2"/>
      </w:pPr>
      <w:r>
        <w:rPr>
          <w:color w:val="2E74B5"/>
          <w:sz w:val="26"/>
        </w:rPr>
        <w:t>5. PRÉPARATION DE COMMANDE (PICKING)</w:t>
      </w:r>
    </w:p>
    <w:p>
      <w:pPr>
        <w:pStyle w:val="ListBullet"/>
      </w:pPr>
      <w:r>
        <w:t>Chaque session de picking doit être notée : heure de début, heure de fin, nombre de lignes traitées.</w:t>
      </w:r>
    </w:p>
    <w:p>
      <w:pPr>
        <w:pStyle w:val="ListBullet"/>
      </w:pPr>
      <w:r>
        <w:t>Transmettre la feuille de temps au responsable en fin de journée.</w:t>
      </w:r>
    </w:p>
    <w:p>
      <w:pPr>
        <w:pStyle w:val="ListBullet"/>
      </w:pPr>
      <w:r>
        <w:t>Ces informations servent à facturer Nira Solutions (28 €/h ou 1,50 €/ligne).</w:t>
      </w:r>
    </w:p>
    <w:p>
      <w:pPr>
        <w:pStyle w:val="ListBullet"/>
      </w:pPr>
      <w:r>
        <w:t>Toute demande de reconditionnement ou d'étiquetage est également à chronométrer.</w:t>
      </w:r>
    </w:p>
    <w:p/>
    <w:p>
      <w:pPr>
        <w:pStyle w:val="Heading2"/>
      </w:pPr>
      <w:r>
        <w:rPr>
          <w:color w:val="2E74B5"/>
          <w:sz w:val="26"/>
        </w:rPr>
        <w:t>6. CHECKLIST FIN DE MOIS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rPr>
              <w:t>À faire</w:t>
            </w:r>
          </w:p>
        </w:tc>
        <w:tc>
          <w:tcPr>
            <w:tcW w:type="dxa" w:w="4320"/>
            <w:shd w:val="clear" w:color="auto" w:fill="1F497D"/>
          </w:tcPr>
          <w:p>
            <w:r>
              <w:rPr>
                <w:b/>
                <w:color w:val="FFFFFF"/>
              </w:rPr>
              <w:t>Responsable</w:t>
            </w:r>
          </w:p>
        </w:tc>
      </w:tr>
      <w:tr>
        <w:tc>
          <w:tcPr>
            <w:tcW w:type="dxa" w:w="4320"/>
          </w:tcPr>
          <w:p>
            <w:r>
              <w:rPr>
                <w:sz w:val="20"/>
              </w:rPr>
              <w:t>Compter les palettes en stock (TT/Stock/PICK/...) au dernier jour du mois — base facturation Terracotta Beauty</w:t>
            </w:r>
          </w:p>
        </w:tc>
        <w:tc>
          <w:tcPr>
            <w:tcW w:type="dxa" w:w="4320"/>
          </w:tcPr>
          <w:p>
            <w:pPr>
              <w:jc w:val="center"/>
            </w:pPr>
            <w:r>
              <w:rPr>
                <w:sz w:val="20"/>
              </w:rPr>
              <w:t>Logistique</w:t>
            </w:r>
          </w:p>
        </w:tc>
      </w:tr>
      <w:tr>
        <w:tc>
          <w:tcPr>
            <w:tcW w:type="dxa" w:w="4320"/>
            <w:shd w:val="clear" w:color="auto" w:fill="DCE6F1"/>
          </w:tcPr>
          <w:p>
            <w:r>
              <w:rPr>
                <w:sz w:val="20"/>
              </w:rPr>
              <w:t>Vérifier que tous les PO du mois sont validés dans Odoo</w:t>
            </w:r>
          </w:p>
        </w:tc>
        <w:tc>
          <w:tcPr>
            <w:tcW w:type="dxa" w:w="4320"/>
            <w:shd w:val="clear" w:color="auto" w:fill="DCE6F1"/>
          </w:tcPr>
          <w:p>
            <w:pPr>
              <w:jc w:val="center"/>
            </w:pPr>
            <w:r>
              <w:rPr>
                <w:sz w:val="20"/>
              </w:rPr>
              <w:t>Logistique</w:t>
            </w:r>
          </w:p>
        </w:tc>
      </w:tr>
      <w:tr>
        <w:tc>
          <w:tcPr>
            <w:tcW w:type="dxa" w:w="4320"/>
          </w:tcPr>
          <w:p>
            <w:r>
              <w:rPr>
                <w:sz w:val="20"/>
              </w:rPr>
              <w:t>Vérifier que tous les ordres de transfert sont validés</w:t>
            </w:r>
          </w:p>
        </w:tc>
        <w:tc>
          <w:tcPr>
            <w:tcW w:type="dxa" w:w="4320"/>
          </w:tcPr>
          <w:p>
            <w:pPr>
              <w:jc w:val="center"/>
            </w:pPr>
            <w:r>
              <w:rPr>
                <w:sz w:val="20"/>
              </w:rPr>
              <w:t>Logistique</w:t>
            </w:r>
          </w:p>
        </w:tc>
      </w:tr>
      <w:tr>
        <w:tc>
          <w:tcPr>
            <w:tcW w:type="dxa" w:w="4320"/>
            <w:shd w:val="clear" w:color="auto" w:fill="DCE6F1"/>
          </w:tcPr>
          <w:p>
            <w:r>
              <w:rPr>
                <w:sz w:val="20"/>
              </w:rPr>
              <w:t>Transmettre les feuilles de temps picking au responsable</w:t>
            </w:r>
          </w:p>
        </w:tc>
        <w:tc>
          <w:tcPr>
            <w:tcW w:type="dxa" w:w="4320"/>
            <w:shd w:val="clear" w:color="auto" w:fill="DCE6F1"/>
          </w:tcPr>
          <w:p>
            <w:pPr>
              <w:jc w:val="center"/>
            </w:pPr>
            <w:r>
              <w:rPr>
                <w:sz w:val="20"/>
              </w:rPr>
              <w:t>Logistique</w:t>
            </w:r>
          </w:p>
        </w:tc>
      </w:tr>
      <w:tr>
        <w:tc>
          <w:tcPr>
            <w:tcW w:type="dxa" w:w="4320"/>
          </w:tcPr>
          <w:p>
            <w:r>
              <w:rPr>
                <w:sz w:val="20"/>
              </w:rPr>
              <w:t>Signaler tout écart de stock ou incident non encore rapporté</w:t>
            </w:r>
          </w:p>
        </w:tc>
        <w:tc>
          <w:tcPr>
            <w:tcW w:type="dxa" w:w="4320"/>
          </w:tcPr>
          <w:p>
            <w:pPr>
              <w:jc w:val="center"/>
            </w:pPr>
            <w:r>
              <w:rPr>
                <w:sz w:val="20"/>
              </w:rPr>
              <w:t>Logistique</w:t>
            </w:r>
          </w:p>
        </w:tc>
      </w:tr>
    </w:tbl>
    <w:p/>
    <w:p>
      <w:pPr>
        <w:pStyle w:val="Heading2"/>
      </w:pPr>
      <w:r>
        <w:rPr>
          <w:color w:val="2E74B5"/>
          <w:sz w:val="26"/>
        </w:rPr>
        <w:t>7. CONTACTS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20"/>
              </w:rPr>
              <w:t>Rôle</w:t>
            </w:r>
          </w:p>
        </w:tc>
        <w:tc>
          <w:tcPr>
            <w:tcW w:type="dxa" w:w="2880"/>
            <w:shd w:val="clear" w:color="auto" w:fill="1F497D"/>
          </w:tcPr>
          <w:p>
            <w:r>
              <w:rPr>
                <w:b/>
                <w:color w:val="FFFFFF"/>
                <w:sz w:val="20"/>
              </w:rPr>
              <w:t>Nom</w:t>
            </w:r>
          </w:p>
        </w:tc>
        <w:tc>
          <w:tcPr>
            <w:tcW w:type="dxa" w:w="2880"/>
            <w:shd w:val="clear" w:color="auto" w:fill="1F497D"/>
          </w:tcPr>
          <w:p>
            <w:r>
              <w:rPr>
                <w:b/>
                <w:color w:val="FFFFFF"/>
                <w:sz w:val="20"/>
              </w:rPr>
              <w:t>Contact</w:t>
            </w:r>
          </w:p>
        </w:tc>
      </w:tr>
      <w:tr>
        <w:tc>
          <w:tcPr>
            <w:tcW w:type="dxa" w:w="2880"/>
          </w:tcPr>
          <w:p>
            <w:r>
              <w:rPr>
                <w:sz w:val="20"/>
              </w:rPr>
              <w:t>Responsable Teatower / OPALYA</w:t>
            </w:r>
          </w:p>
        </w:tc>
        <w:tc>
          <w:tcPr>
            <w:tcW w:type="dxa" w:w="2880"/>
          </w:tcPr>
          <w:p>
            <w:r>
              <w:rPr>
                <w:sz w:val="20"/>
              </w:rPr>
              <w:t>[Votre nom]</w:t>
            </w:r>
          </w:p>
        </w:tc>
        <w:tc>
          <w:tcPr>
            <w:tcW w:type="dxa" w:w="2880"/>
          </w:tcPr>
          <w:p>
            <w:r>
              <w:rPr>
                <w:sz w:val="20"/>
              </w:rPr>
              <w:t>[Téléphone / e-mail]</w:t>
            </w:r>
          </w:p>
        </w:tc>
      </w:tr>
      <w:tr>
        <w:tc>
          <w:tcPr>
            <w:tcW w:type="dxa" w:w="2880"/>
            <w:shd w:val="clear" w:color="auto" w:fill="DCE6F1"/>
          </w:tcPr>
          <w:p>
            <w:r>
              <w:rPr>
                <w:sz w:val="20"/>
              </w:rPr>
              <w:t>Client Nira Solutions</w:t>
            </w:r>
          </w:p>
        </w:tc>
        <w:tc>
          <w:tcPr>
            <w:tcW w:type="dxa" w:w="2880"/>
            <w:shd w:val="clear" w:color="auto" w:fill="DCE6F1"/>
          </w:tcPr>
          <w:p>
            <w:r>
              <w:rPr>
                <w:sz w:val="20"/>
              </w:rPr>
              <w:t>Stephan Pire de Vilna Gaon</w:t>
            </w:r>
          </w:p>
        </w:tc>
        <w:tc>
          <w:tcPr>
            <w:tcW w:type="dxa" w:w="2880"/>
            <w:shd w:val="clear" w:color="auto" w:fill="DCE6F1"/>
          </w:tcPr>
          <w:p>
            <w:r>
              <w:rPr>
                <w:sz w:val="20"/>
              </w:rPr>
              <w:t>[Téléphone / e-mail]</w:t>
            </w:r>
          </w:p>
        </w:tc>
      </w:tr>
    </w:tbl>
    <w:p/>
    <w:p>
      <w:pPr>
        <w:jc w:val="center"/>
      </w:pPr>
      <w:r>
        <w:rPr>
          <w:color w:val="999999"/>
          <w:sz w:val="18"/>
        </w:rPr>
        <w:t>Document interne Teatower — Entrepôt OPALYA — Mars 2026</w:t>
      </w:r>
    </w:p>
    <w:p>
      <w:pPr>
        <w:pStyle w:val="Heading1"/>
      </w:pPr>
      <w:r>
        <w:t>8. MISE À JOUR EMPLACEMENTS — 07/05/2026</w:t>
      </w:r>
    </w:p>
    <w:p>
      <w:r>
        <w:rPr>
          <w:i/>
        </w:rPr>
        <w:t>Suite à l'audit du 07/05/2026 par Nicolas, le brief a été mis à jour pour refléter les emplacements physiques réels dans Odoo Teatower :</w:t>
      </w:r>
    </w:p>
    <w:p>
      <w:r>
        <w:t>Les SKU Opalya (OPA001, OPA002, OPA003) ne sont PAS stockés dans l'emplacement dédié "OPA/Stock" prévu initialement, mais dans le pool de picking standard Teatower (zones C et D, niveaux 1 et 2). Cette configuration ne sera PAS modifiée dans Odoo (décision Nicolas 07/05/2026 — l'organisation actuelle fonctionne).</w:t>
      </w:r>
    </w:p>
    <w:p>
      <w:r>
        <w:t>Comptage des palettes au 30/04/2026 (base de facturation Avril 2026) :</w:t>
      </w:r>
    </w:p>
    <w:tbl>
      <w:tblPr>
        <w:tblStyle w:val="TableGrid"/>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Emplacements occupés</w:t>
            </w:r>
          </w:p>
        </w:tc>
        <w:tc>
          <w:tcPr>
            <w:tcW w:type="dxa" w:w="2880"/>
          </w:tcPr>
          <w:p>
            <w:r>
              <w:t>Nombre de palettes</w:t>
            </w:r>
          </w:p>
        </w:tc>
      </w:tr>
      <w:tr>
        <w:tc>
          <w:tcPr>
            <w:tcW w:type="dxa" w:w="2880"/>
          </w:tcPr>
          <w:p>
            <w:r>
              <w:t>OPA001 — Lait multi-hydratant éclaircissant</w:t>
            </w:r>
          </w:p>
        </w:tc>
        <w:tc>
          <w:tcPr>
            <w:tcW w:type="dxa" w:w="2880"/>
          </w:tcPr>
          <w:p>
            <w:r>
              <w:t>C-08-01, C-01-01, C-01-02, D-21-02, D-15-01, D-12-01, D-11-01, C-09-02, C-17-01, D-02-01</w:t>
            </w:r>
          </w:p>
        </w:tc>
        <w:tc>
          <w:tcPr>
            <w:tcW w:type="dxa" w:w="2880"/>
          </w:tcPr>
          <w:p>
            <w:r>
              <w:t>10</w:t>
            </w:r>
          </w:p>
        </w:tc>
      </w:tr>
      <w:tr>
        <w:tc>
          <w:tcPr>
            <w:tcW w:type="dxa" w:w="2880"/>
          </w:tcPr>
          <w:p>
            <w:r>
              <w:t>OPA002 — Lait éclaircissant huile d'argan</w:t>
            </w:r>
          </w:p>
        </w:tc>
        <w:tc>
          <w:tcPr>
            <w:tcW w:type="dxa" w:w="2880"/>
          </w:tcPr>
          <w:p>
            <w:r>
              <w:t>C-02-01, D-09-02, C-02-02, C-04-02, C-04-01</w:t>
            </w:r>
          </w:p>
        </w:tc>
        <w:tc>
          <w:tcPr>
            <w:tcW w:type="dxa" w:w="2880"/>
          </w:tcPr>
          <w:p>
            <w:r>
              <w:t>5</w:t>
            </w:r>
          </w:p>
        </w:tc>
      </w:tr>
      <w:tr>
        <w:tc>
          <w:tcPr>
            <w:tcW w:type="dxa" w:w="2880"/>
          </w:tcPr>
          <w:p>
            <w:r>
              <w:t>OPA003 — Gel douche éclaircissant</w:t>
            </w:r>
          </w:p>
        </w:tc>
        <w:tc>
          <w:tcPr>
            <w:tcW w:type="dxa" w:w="2880"/>
          </w:tcPr>
          <w:p>
            <w:r>
              <w:t>C-03-01, C-03-02, D-10-01, D-10-02</w:t>
            </w:r>
          </w:p>
        </w:tc>
        <w:tc>
          <w:tcPr>
            <w:tcW w:type="dxa" w:w="2880"/>
          </w:tcPr>
          <w:p>
            <w:r>
              <w:t>4</w:t>
            </w:r>
          </w:p>
        </w:tc>
      </w:tr>
      <w:tr>
        <w:tc>
          <w:tcPr>
            <w:tcW w:type="dxa" w:w="2880"/>
          </w:tcPr>
          <w:p>
            <w:r>
              <w:t>TOTAL</w:t>
            </w:r>
          </w:p>
        </w:tc>
        <w:tc>
          <w:tcPr>
            <w:tcW w:type="dxa" w:w="2880"/>
          </w:tcPr>
          <w:p>
            <w:r>
              <w:t>19 emplacements distincts</w:t>
            </w:r>
          </w:p>
        </w:tc>
        <w:tc>
          <w:tcPr>
            <w:tcW w:type="dxa" w:w="2880"/>
          </w:tcPr>
          <w:p>
            <w:r>
              <w:t>19</w:t>
            </w:r>
          </w:p>
        </w:tc>
      </w:tr>
    </w:tbl>
    <w:p>
      <w:r>
        <w:t>Pour le comptage de fin de mois (checklist §6), utiliser la requête Odoo : stock.quant filtré sur products OPA0% avec quantity &gt; 0, regrouper par location_id pour obtenir le nombre d'emplacements distincts = nombre de palettes facturables.</w:t>
      </w:r>
    </w:p>
    <w:p>
      <w:r>
        <w:t>Facture Avril 2026 : 19 palettes × 10 € + 25 € forfait gestion = 215 € HT (260,15 € TTC TVA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