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Design Guide: Creator Trips (Release 1)</w:t>
      </w:r>
    </w:p>
    <w:p>
      <w:pPr/>
      <w:r>
        <w:rPr>
          <w:b/>
        </w:rPr>
        <w:t xml:space="preserve">Version:</w:t>
      </w:r>
      <w:r>
        <w:t xml:space="preserve"> 1.0 (draft)  </w:t>
      </w:r>
      <w:r>
        <w:rPr>
          <w:b/>
        </w:rPr>
        <w:t xml:space="preserve">Status:</w:t>
      </w:r>
      <w:r>
        <w:t xml:space="preserve"> a short starting point, not a full design system</w:t>
      </w:r>
    </w:p>
    <w:p>
      <w:pPr>
        <w:pStyle w:val="Heading2"/>
      </w:pPr>
      <w:r>
        <w:t xml:space="preserve">1. Look and feel</w:t>
      </w:r>
    </w:p>
    <w:p>
      <w:pPr/>
      <w:r>
        <w:t xml:space="preserve">Open, bright and adventurous, like the reference image: a lot of sky, white space, big calm headlines and one warm touch of yellow. The page should feel light and trustworthy, so travellers feel safe sending a WhatsApp message to a creator.</w:t>
      </w:r>
    </w:p>
    <w:p>
      <w:pPr/>
      <w:r>
        <w:t xml:space="preserve">The photo in the reference is inspiration only. Use photos you have the right to use.</w:t>
      </w:r>
    </w:p>
    <w:p>
      <w:pPr>
        <w:pStyle w:val="Heading2"/>
      </w:pPr>
      <w:r>
        <w:t xml:space="preserve">2. Colour palette</w:t>
      </w:r>
    </w:p>
    <w:p>
      <w:pPr/>
      <w:r>
        <w:t xml:space="preserve">Three colours do the work: </w:t>
      </w:r>
      <w:r>
        <w:rPr>
          <w:b/>
        </w:rPr>
        <w:t xml:space="preserve">white</w:t>
      </w:r>
      <w:r>
        <w:t xml:space="preserve">, </w:t>
      </w:r>
      <w:r>
        <w:rPr>
          <w:b/>
        </w:rPr>
        <w:t xml:space="preserve">sky blue</w:t>
      </w:r>
      <w:r>
        <w:t xml:space="preserve"> and a </w:t>
      </w:r>
      <w:r>
        <w:rPr>
          <w:b/>
        </w:rPr>
        <w:t xml:space="preserve">shade of yellow</w:t>
      </w:r>
      <w:r>
        <w:t xml:space="preserve">. Dark ink is used for text.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70"/>
        <w:gridCol w:w="1668"/>
        <w:gridCol w:w="6320"/>
      </w:tblGrid>
      <w:tr>
        <w:trPr>
          <w:tblHeader/>
        </w:trPr>
        <w:tc>
          <w:tcPr>
            <w:tcW w:w="1370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1668" w:type="dxa"/>
            <w:shd w:val="clear" w:color="auto" w:fill="F2F2F2"/>
          </w:tcPr>
          <w:p>
            <w:pPr/>
            <w:r>
              <w:t xml:space="preserve">Hex</w:t>
            </w:r>
          </w:p>
        </w:tc>
        <w:tc>
          <w:tcPr>
            <w:tcW w:w="6320" w:type="dxa"/>
            <w:shd w:val="clear" w:color="auto" w:fill="F2F2F2"/>
          </w:tcPr>
          <w:p>
            <w:pPr/>
            <w:r>
              <w:t xml:space="preserve">Use</w:t>
            </w:r>
          </w:p>
        </w:tc>
      </w:tr>
      <w:tr>
        <w:tc>
          <w:tcPr>
            <w:tcW w:w="1370" w:type="dxa"/>
          </w:tcPr>
          <w:p>
            <w:pPr/>
            <w:r>
              <w:t xml:space="preserve">White</w:t>
            </w:r>
          </w:p>
        </w:tc>
        <w:tc>
          <w:tcPr>
            <w:tcW w:w="1668" w:type="dxa"/>
          </w:tcPr>
          <w:p>
            <w:pPr/>
            <w:r>
              <w:t xml:space="preserve">#FFFFFF</w:t>
            </w:r>
          </w:p>
        </w:tc>
        <w:tc>
          <w:tcPr>
            <w:tcW w:w="6320" w:type="dxa"/>
          </w:tcPr>
          <w:p>
            <w:pPr/>
            <w:r>
              <w:t xml:space="preserve">Main surfaces, cards, the page container</w:t>
            </w:r>
          </w:p>
        </w:tc>
      </w:tr>
      <w:tr>
        <w:tc>
          <w:tcPr>
            <w:tcW w:w="1370" w:type="dxa"/>
          </w:tcPr>
          <w:p>
            <w:pPr/>
            <w:r>
              <w:t xml:space="preserve">Sky 100</w:t>
            </w:r>
          </w:p>
        </w:tc>
        <w:tc>
          <w:tcPr>
            <w:tcW w:w="1668" w:type="dxa"/>
          </w:tcPr>
          <w:p>
            <w:pPr/>
            <w:r>
              <w:t xml:space="preserve">#DCEEFB</w:t>
            </w:r>
          </w:p>
        </w:tc>
        <w:tc>
          <w:tcPr>
            <w:tcW w:w="6320" w:type="dxa"/>
          </w:tcPr>
          <w:p>
            <w:pPr/>
            <w:r>
              <w:t xml:space="preserve">Page background outside the white container</w:t>
            </w:r>
          </w:p>
        </w:tc>
      </w:tr>
      <w:tr>
        <w:tc>
          <w:tcPr>
            <w:tcW w:w="1370" w:type="dxa"/>
          </w:tcPr>
          <w:p>
            <w:pPr/>
            <w:r>
              <w:t xml:space="preserve">Sky 50</w:t>
            </w:r>
          </w:p>
        </w:tc>
        <w:tc>
          <w:tcPr>
            <w:tcW w:w="1668" w:type="dxa"/>
          </w:tcPr>
          <w:p>
            <w:pPr/>
            <w:r>
              <w:t xml:space="preserve">#F2F9FF</w:t>
            </w:r>
          </w:p>
        </w:tc>
        <w:tc>
          <w:tcPr>
            <w:tcW w:w="6320" w:type="dxa"/>
          </w:tcPr>
          <w:p>
            <w:pPr/>
            <w:r>
              <w:t xml:space="preserve">Soft section backgrounds, table stripes</w:t>
            </w:r>
          </w:p>
        </w:tc>
      </w:tr>
      <w:tr>
        <w:tc>
          <w:tcPr>
            <w:tcW w:w="1370" w:type="dxa"/>
          </w:tcPr>
          <w:p>
            <w:pPr/>
            <w:r>
              <w:t xml:space="preserve">Sky 300</w:t>
            </w:r>
          </w:p>
        </w:tc>
        <w:tc>
          <w:tcPr>
            <w:tcW w:w="1668" w:type="dxa"/>
          </w:tcPr>
          <w:p>
            <w:pPr/>
            <w:r>
              <w:t xml:space="preserve">#8CC4EE</w:t>
            </w:r>
          </w:p>
        </w:tc>
        <w:tc>
          <w:tcPr>
            <w:tcW w:w="6320" w:type="dxa"/>
          </w:tcPr>
          <w:p>
            <w:pPr/>
            <w:r>
              <w:t xml:space="preserve">Borders, tags, icons, chart fills</w:t>
            </w:r>
          </w:p>
        </w:tc>
      </w:tr>
      <w:tr>
        <w:tc>
          <w:tcPr>
            <w:tcW w:w="1370" w:type="dxa"/>
          </w:tcPr>
          <w:p>
            <w:pPr/>
            <w:r>
              <w:t xml:space="preserve">Sky 500</w:t>
            </w:r>
          </w:p>
        </w:tc>
        <w:tc>
          <w:tcPr>
            <w:tcW w:w="1668" w:type="dxa"/>
          </w:tcPr>
          <w:p>
            <w:pPr/>
            <w:r>
              <w:t xml:space="preserve">#2F80C8</w:t>
            </w:r>
          </w:p>
        </w:tc>
        <w:tc>
          <w:tcPr>
            <w:tcW w:w="6320" w:type="dxa"/>
          </w:tcPr>
          <w:p>
            <w:pPr/>
            <w:r>
              <w:t xml:space="preserve">Large graphics and big headings only</w:t>
            </w:r>
          </w:p>
        </w:tc>
      </w:tr>
      <w:tr>
        <w:tc>
          <w:tcPr>
            <w:tcW w:w="1370" w:type="dxa"/>
          </w:tcPr>
          <w:p>
            <w:pPr/>
            <w:r>
              <w:t xml:space="preserve">Sky 600</w:t>
            </w:r>
          </w:p>
        </w:tc>
        <w:tc>
          <w:tcPr>
            <w:tcW w:w="1668" w:type="dxa"/>
          </w:tcPr>
          <w:p>
            <w:pPr/>
            <w:r>
              <w:t xml:space="preserve">#1F6AAE</w:t>
            </w:r>
          </w:p>
        </w:tc>
        <w:tc>
          <w:tcPr>
            <w:tcW w:w="6320" w:type="dxa"/>
          </w:tcPr>
          <w:p>
            <w:pPr/>
            <w:r>
              <w:t xml:space="preserve">Links and small blue text on white</w:t>
            </w:r>
          </w:p>
        </w:tc>
      </w:tr>
      <w:tr>
        <w:tc>
          <w:tcPr>
            <w:tcW w:w="1370" w:type="dxa"/>
          </w:tcPr>
          <w:p>
            <w:pPr/>
            <w:r>
              <w:t xml:space="preserve">Sun 400</w:t>
            </w:r>
          </w:p>
        </w:tc>
        <w:tc>
          <w:tcPr>
            <w:tcW w:w="1668" w:type="dxa"/>
          </w:tcPr>
          <w:p>
            <w:pPr/>
            <w:r>
              <w:t xml:space="preserve">#F5A524</w:t>
            </w:r>
          </w:p>
        </w:tc>
        <w:tc>
          <w:tcPr>
            <w:tcW w:w="6320" w:type="dxa"/>
          </w:tcPr>
          <w:p>
            <w:pPr/>
            <w:r>
              <w:t xml:space="preserve">The one accent: key button, highlights, “slots left” badge</w:t>
            </w:r>
          </w:p>
        </w:tc>
      </w:tr>
      <w:tr>
        <w:tc>
          <w:tcPr>
            <w:tcW w:w="1370" w:type="dxa"/>
          </w:tcPr>
          <w:p>
            <w:pPr/>
            <w:r>
              <w:t xml:space="preserve">Sun 100</w:t>
            </w:r>
          </w:p>
        </w:tc>
        <w:tc>
          <w:tcPr>
            <w:tcW w:w="1668" w:type="dxa"/>
          </w:tcPr>
          <w:p>
            <w:pPr/>
            <w:r>
              <w:t xml:space="preserve">#FFF1D6</w:t>
            </w:r>
          </w:p>
        </w:tc>
        <w:tc>
          <w:tcPr>
            <w:tcW w:w="6320" w:type="dxa"/>
          </w:tcPr>
          <w:p>
            <w:pPr/>
            <w:r>
              <w:t xml:space="preserve">Soft yellow background for notes and highlights</w:t>
            </w:r>
          </w:p>
        </w:tc>
      </w:tr>
      <w:tr>
        <w:tc>
          <w:tcPr>
            <w:tcW w:w="1370" w:type="dxa"/>
          </w:tcPr>
          <w:p>
            <w:pPr/>
            <w:r>
              <w:t xml:space="preserve">Ink</w:t>
            </w:r>
          </w:p>
        </w:tc>
        <w:tc>
          <w:tcPr>
            <w:tcW w:w="1668" w:type="dxa"/>
          </w:tcPr>
          <w:p>
            <w:pPr/>
            <w:r>
              <w:t xml:space="preserve">#0B1220</w:t>
            </w:r>
          </w:p>
        </w:tc>
        <w:tc>
          <w:tcPr>
            <w:tcW w:w="6320" w:type="dxa"/>
          </w:tcPr>
          <w:p>
            <w:pPr/>
            <w:r>
              <w:t xml:space="preserve">Headings, body text, black buttons</w:t>
            </w:r>
          </w:p>
        </w:tc>
      </w:tr>
      <w:tr>
        <w:tc>
          <w:tcPr>
            <w:tcW w:w="1370" w:type="dxa"/>
          </w:tcPr>
          <w:p>
            <w:pPr/>
            <w:r>
              <w:t xml:space="preserve">Slate</w:t>
            </w:r>
          </w:p>
        </w:tc>
        <w:tc>
          <w:tcPr>
            <w:tcW w:w="1668" w:type="dxa"/>
          </w:tcPr>
          <w:p>
            <w:pPr/>
            <w:r>
              <w:t xml:space="preserve">#5B6B7F</w:t>
            </w:r>
          </w:p>
        </w:tc>
        <w:tc>
          <w:tcPr>
            <w:tcW w:w="6320" w:type="dxa"/>
          </w:tcPr>
          <w:p>
            <w:pPr/>
            <w:r>
              <w:t xml:space="preserve">Secondary text and captions</w:t>
            </w:r>
          </w:p>
        </w:tc>
      </w:tr>
    </w:tbl>
    <w:p>
      <w:pPr/>
      <w:r>
        <w:drawing>
          <wp:inline distT="0" distB="0" distL="0" distR="0">
            <wp:extent cx="5486400" cy="2220685"/>
            <wp:docPr id="1" name="image1" descr="colour palet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olour palett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colour palette</w:t>
      </w:r>
    </w:p>
    <w:p>
      <w:pPr/>
      <w:r>
        <w:rPr>
          <w:b/>
        </w:rPr>
        <w:t xml:space="preserve">Rules</w:t>
      </w:r>
    </w:p>
    <w:p>
      <w:pPr>
        <w:pStyle w:val="ListParagraph"/>
        <w:numPr>
          <w:ilvl w:val="0"/>
          <w:numId w:val="2"/>
        </w:numPr>
      </w:pPr>
      <w:r>
        <w:t xml:space="preserve">Roughly 60% white, 30% sky blue, 10% or less yellow. Yellow stays rare so it stands out.</w:t>
      </w:r>
    </w:p>
    <w:p>
      <w:pPr>
        <w:pStyle w:val="ListParagraph"/>
        <w:numPr>
          <w:ilvl w:val="0"/>
          <w:numId w:val="2"/>
        </w:numPr>
      </w:pPr>
      <w:r>
        <w:t xml:space="preserve">Never put yellow text on white; it is too faint. Put Ink text on yellow instead.</w:t>
      </w:r>
    </w:p>
    <w:p>
      <w:pPr>
        <w:pStyle w:val="ListParagraph"/>
        <w:numPr>
          <w:ilvl w:val="0"/>
          <w:numId w:val="2"/>
        </w:numPr>
      </w:pPr>
      <w:r>
        <w:t xml:space="preserve">Use Sky 600, not Sky 500, for blue text on white. My rough calculation puts Sky 500 under the 4.5:1 contrast needed for small text. Please check all pairs with a contrast checker before launch.</w:t>
      </w:r>
    </w:p>
    <w:p>
      <w:pPr>
        <w:pStyle w:val="Heading2"/>
      </w:pPr>
      <w:r>
        <w:t xml:space="preserve">3. Typography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11"/>
        <w:gridCol w:w="6348"/>
      </w:tblGrid>
      <w:tr>
        <w:trPr>
          <w:tblHeader/>
        </w:trPr>
        <w:tc>
          <w:tcPr>
            <w:tcW w:w="3011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6348" w:type="dxa"/>
            <w:shd w:val="clear" w:color="auto" w:fill="F2F2F2"/>
          </w:tcPr>
          <w:p>
            <w:pPr/>
            <w:r>
              <w:t xml:space="preserve">Style</w:t>
            </w:r>
          </w:p>
        </w:tc>
      </w:tr>
      <w:tr>
        <w:tc>
          <w:tcPr>
            <w:tcW w:w="3011" w:type="dxa"/>
          </w:tcPr>
          <w:p>
            <w:pPr/>
            <w:r>
              <w:t xml:space="preserve">Font</w:t>
            </w:r>
          </w:p>
        </w:tc>
        <w:tc>
          <w:tcPr>
            <w:tcW w:w="6348" w:type="dxa"/>
          </w:tcPr>
          <w:p>
            <w:pPr/>
            <w:r>
              <w:t xml:space="preserve">Inter (free on Google Fonts), falling back to system sans-serif</w:t>
            </w:r>
          </w:p>
        </w:tc>
      </w:tr>
      <w:tr>
        <w:tc>
          <w:tcPr>
            <w:tcW w:w="3011" w:type="dxa"/>
          </w:tcPr>
          <w:p>
            <w:pPr/>
            <w:r>
              <w:t xml:space="preserve">Hero headline</w:t>
            </w:r>
          </w:p>
        </w:tc>
        <w:tc>
          <w:tcPr>
            <w:tcW w:w="6348" w:type="dxa"/>
          </w:tcPr>
          <w:p>
            <w:pPr/>
            <w:r>
              <w:t xml:space="preserve">56 to 72 px on desktop, 36 px on mobile, regular weight, tight line spacing, Ink</w:t>
            </w:r>
          </w:p>
        </w:tc>
      </w:tr>
      <w:tr>
        <w:tc>
          <w:tcPr>
            <w:tcW w:w="3011" w:type="dxa"/>
          </w:tcPr>
          <w:p>
            <w:pPr/>
            <w:r>
              <w:t xml:space="preserve">Section heading</w:t>
            </w:r>
          </w:p>
        </w:tc>
        <w:tc>
          <w:tcPr>
            <w:tcW w:w="6348" w:type="dxa"/>
          </w:tcPr>
          <w:p>
            <w:pPr/>
            <w:r>
              <w:t xml:space="preserve">28 to 32 px, medium weight</w:t>
            </w:r>
          </w:p>
        </w:tc>
      </w:tr>
      <w:tr>
        <w:tc>
          <w:tcPr>
            <w:tcW w:w="3011" w:type="dxa"/>
          </w:tcPr>
          <w:p>
            <w:pPr/>
            <w:r>
              <w:t xml:space="preserve">Body</w:t>
            </w:r>
          </w:p>
        </w:tc>
        <w:tc>
          <w:tcPr>
            <w:tcW w:w="6348" w:type="dxa"/>
          </w:tcPr>
          <w:p>
            <w:pPr/>
            <w:r>
              <w:t xml:space="preserve">16 px, regular, line spacing 1.5</w:t>
            </w:r>
          </w:p>
        </w:tc>
      </w:tr>
      <w:tr>
        <w:tc>
          <w:tcPr>
            <w:tcW w:w="3011" w:type="dxa"/>
          </w:tcPr>
          <w:p>
            <w:pPr/>
            <w:r>
              <w:t xml:space="preserve">Labels and captions</w:t>
            </w:r>
          </w:p>
        </w:tc>
        <w:tc>
          <w:tcPr>
            <w:tcW w:w="6348" w:type="dxa"/>
          </w:tcPr>
          <w:p>
            <w:pPr/>
            <w:r>
              <w:t xml:space="preserve">12 to 14 px, Slate</w:t>
            </w:r>
          </w:p>
        </w:tc>
      </w:tr>
    </w:tbl>
    <w:p>
      <w:pPr/>
      <w:r>
        <w:t xml:space="preserve">The big, light headline is what gives the reference its calm feel. Avoid heavy bold headings.</w:t>
      </w:r>
    </w:p>
    <w:p>
      <w:pPr>
        <w:pStyle w:val="Heading2"/>
      </w:pPr>
      <w:r>
        <w:t xml:space="preserve">4. Shape and spacing</w:t>
      </w:r>
    </w:p>
    <w:p>
      <w:pPr>
        <w:pStyle w:val="ListParagraph"/>
        <w:numPr>
          <w:ilvl w:val="0"/>
          <w:numId w:val="3"/>
        </w:numPr>
      </w:pPr>
      <w:r>
        <w:t xml:space="preserve">Page background is Sky 100. Content sits in a large white container with 24 px rounded corners.</w:t>
      </w:r>
    </w:p>
    <w:p>
      <w:pPr>
        <w:pStyle w:val="ListParagraph"/>
        <w:numPr>
          <w:ilvl w:val="0"/>
          <w:numId w:val="3"/>
        </w:numPr>
      </w:pPr>
      <w:r>
        <w:t xml:space="preserve">Hero image has 32 px rounded corners. Cards use 20 to 24 px.</w:t>
      </w:r>
    </w:p>
    <w:p>
      <w:pPr>
        <w:pStyle w:val="ListParagraph"/>
        <w:numPr>
          <w:ilvl w:val="0"/>
          <w:numId w:val="3"/>
        </w:numPr>
      </w:pPr>
      <w:r>
        <w:t xml:space="preserve">Buttons and tags are fully rounded (pills). Icon buttons are circles.</w:t>
      </w:r>
    </w:p>
    <w:p>
      <w:pPr>
        <w:pStyle w:val="ListParagraph"/>
        <w:numPr>
          <w:ilvl w:val="0"/>
          <w:numId w:val="3"/>
        </w:numPr>
      </w:pPr>
      <w:r>
        <w:t xml:space="preserve">Use an 8 px spacing grid, with generous space between sections.</w:t>
      </w:r>
    </w:p>
    <w:p>
      <w:pPr>
        <w:pStyle w:val="ListParagraph"/>
        <w:numPr>
          <w:ilvl w:val="0"/>
          <w:numId w:val="3"/>
        </w:numPr>
      </w:pPr>
      <w:r>
        <w:t xml:space="preserve">Floating info cards may have one notched corner, as in the reference, but use this sparingly.</w:t>
      </w:r>
    </w:p>
    <w:p>
      <w:pPr>
        <w:pStyle w:val="Heading2"/>
      </w:pPr>
      <w:r>
        <w:t xml:space="preserve">5. Components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0"/>
        <w:gridCol w:w="6489"/>
      </w:tblGrid>
      <w:tr>
        <w:trPr>
          <w:tblHeader/>
        </w:trPr>
        <w:tc>
          <w:tcPr>
            <w:tcW w:w="287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6489" w:type="dxa"/>
            <w:shd w:val="clear" w:color="auto" w:fill="F2F2F2"/>
          </w:tcPr>
          <w:p>
            <w:pPr/>
            <w:r>
              <w:t xml:space="preserve">Design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Navigation bar</w:t>
            </w:r>
          </w:p>
        </w:tc>
        <w:tc>
          <w:tcPr>
            <w:tcW w:w="6489" w:type="dxa"/>
          </w:tcPr>
          <w:p>
            <w:pPr/>
            <w:r>
              <w:t xml:space="preserve">Logo on the left, centred links (Home, Destinations, Plan a trip, About), outline pill “Log in” and black pill “Sign up” on the right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Primary button</w:t>
            </w:r>
          </w:p>
        </w:tc>
        <w:tc>
          <w:tcPr>
            <w:tcW w:w="6489" w:type="dxa"/>
          </w:tcPr>
          <w:p>
            <w:pPr/>
            <w:r>
              <w:t xml:space="preserve">Black pill, white text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Secondary button</w:t>
            </w:r>
          </w:p>
        </w:tc>
        <w:tc>
          <w:tcPr>
            <w:tcW w:w="6489" w:type="dxa"/>
          </w:tcPr>
          <w:p>
            <w:pPr/>
            <w:r>
              <w:t xml:space="preserve">White pill with a thin Ink outline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Hero call to action</w:t>
            </w:r>
          </w:p>
        </w:tc>
        <w:tc>
          <w:tcPr>
            <w:tcW w:w="6489" w:type="dxa"/>
          </w:tcPr>
          <w:p>
            <w:pPr/>
            <w:r>
              <w:t xml:space="preserve">White pill with a black circle and an arrow, as in “Join with us”</w:t>
            </w:r>
          </w:p>
        </w:tc>
      </w:tr>
      <w:tr>
        <w:tc>
          <w:tcPr>
            <w:tcW w:w="2870" w:type="dxa"/>
          </w:tcPr>
          <w:p>
            <w:pPr/>
            <w:r>
              <w:rPr>
                <w:b/>
              </w:rPr>
              <w:t xml:space="preserve">Book my slot</w:t>
            </w:r>
          </w:p>
        </w:tc>
        <w:tc>
          <w:tcPr>
            <w:tcW w:w="6489" w:type="dxa"/>
          </w:tcPr>
          <w:p>
            <w:pPr/>
            <w:r>
              <w:rPr>
                <w:b/>
              </w:rPr>
              <w:t xml:space="preserve">Yellow pill, Ink text.</w:t>
            </w:r>
            <w:r>
              <w:t xml:space="preserve"> The only yellow button, so the booking action stands out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Icon button</w:t>
            </w:r>
          </w:p>
        </w:tc>
        <w:tc>
          <w:tcPr>
            <w:tcW w:w="6489" w:type="dxa"/>
          </w:tcPr>
          <w:p>
            <w:pPr/>
            <w:r>
              <w:t xml:space="preserve">Outlined circle with an arrow; white outline on top of photos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Trip card</w:t>
            </w:r>
          </w:p>
        </w:tc>
        <w:tc>
          <w:tcPr>
            <w:tcW w:w="6489" w:type="dxa"/>
          </w:tcPr>
          <w:p>
            <w:pPr/>
            <w:r>
              <w:t xml:space="preserve">White card, large rounded photo, title, creator, dates, price, a yellow “N slots left” badge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Tags</w:t>
            </w:r>
          </w:p>
        </w:tc>
        <w:tc>
          <w:tcPr>
            <w:tcW w:w="6489" w:type="dxa"/>
          </w:tcPr>
          <w:p>
            <w:pPr/>
            <w:r>
              <w:t xml:space="preserve">Sky 100 pill with Sky 600 text (for example Trek, Solo, Budget)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Info card</w:t>
            </w:r>
          </w:p>
        </w:tc>
        <w:tc>
          <w:tcPr>
            <w:tcW w:w="6489" w:type="dxa"/>
          </w:tcPr>
          <w:p>
            <w:pPr/>
            <w:r>
              <w:t xml:space="preserve">White, rounded, floating over the bottom right of the hero image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Itinerary day</w:t>
            </w:r>
          </w:p>
        </w:tc>
        <w:tc>
          <w:tcPr>
            <w:tcW w:w="6489" w:type="dxa"/>
          </w:tcPr>
          <w:p>
            <w:pPr/>
            <w:r>
              <w:t xml:space="preserve">Sky 50 band with the day number in Sky 600 and stops listed below</w:t>
            </w:r>
          </w:p>
        </w:tc>
      </w:tr>
    </w:tbl>
    <w:p>
      <w:pPr>
        <w:pStyle w:val="Heading2"/>
      </w:pPr>
      <w:r>
        <w:t xml:space="preserve">6. Key screens (Release 1)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Home:</w:t>
      </w:r>
      <w:r>
        <w:t xml:space="preserve"> big headline (for example “Explore India with creators you trust”), a call to action to plan a trip, and a card with featured creator trips.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Trip page:</w:t>
      </w:r>
      <w:r>
        <w:t xml:space="preserve"> hero photo, title, creator, price per slot, slots left, day-by-day itinerary, cost breakdown, the creator’s terms, and the yellow Book my slot button. On mobile the button stays fixed at the bottom of the screen.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AI planner:</w:t>
      </w:r>
      <w:r>
        <w:t xml:space="preserve"> a short form, then three itinerary cards side by side (budget, balanced, comfort). Each shows the cost range and days. Selecting one opens the editor.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Trip guide:</w:t>
      </w:r>
      <w:r>
        <w:t xml:space="preserve"> a day-by-day list with a map and notes. Calm, mostly white, easy to read on the road.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Creator dashboard:</w:t>
      </w:r>
      <w:r>
        <w:t xml:space="preserve"> a simple table of trips with status, slots left, views and clicks. No decoration.</w:t>
      </w:r>
    </w:p>
    <w:p>
      <w:pPr/>
      <w:r>
        <w:drawing>
          <wp:inline distT="0" distB="0" distL="0" distR="0">
            <wp:extent cx="5486400" cy="3445328"/>
            <wp:docPr id="2" name="image2" descr="home screen sketch (layout and colour only, not final artwork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home screen sketch (layout and colour only, not final artwork)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home screen sketch (layout and colour only, not final artwork)</w:t>
      </w:r>
    </w:p>
    <w:p>
      <w:pPr/>
      <w:r>
        <w:t xml:space="preserve">The sketch shows the mood: pale sky page, white container, big light headline, pill buttons, one warm yellow detail and a floating white card.</w:t>
      </w:r>
    </w:p>
    <w:p>
      <w:pPr>
        <w:pStyle w:val="Heading2"/>
      </w:pPr>
      <w:r>
        <w:t xml:space="preserve">7. Imagery</w:t>
      </w:r>
    </w:p>
    <w:p>
      <w:pPr>
        <w:pStyle w:val="ListParagraph"/>
        <w:numPr>
          <w:ilvl w:val="0"/>
          <w:numId w:val="5"/>
        </w:numPr>
      </w:pPr>
      <w:r>
        <w:t xml:space="preserve">Wide landscapes with a lot of sky (mountains, coasts, trails) and, where possible, a traveller in a warm yellow or orange jacket to echo the accent colour.</w:t>
      </w:r>
    </w:p>
    <w:p>
      <w:pPr>
        <w:pStyle w:val="ListParagraph"/>
        <w:numPr>
          <w:ilvl w:val="0"/>
          <w:numId w:val="5"/>
        </w:numPr>
      </w:pPr>
      <w:r>
        <w:t xml:space="preserve">Put headlines over calm, bright areas of the photo only. Keep text off busy detail.</w:t>
      </w:r>
    </w:p>
    <w:p>
      <w:pPr>
        <w:pStyle w:val="ListParagraph"/>
        <w:numPr>
          <w:ilvl w:val="0"/>
          <w:numId w:val="5"/>
        </w:numPr>
      </w:pPr>
      <w:r>
        <w:t xml:space="preserve">Compress images and give each one a text description for accessibility.</w:t>
      </w:r>
    </w:p>
    <w:p>
      <w:pPr>
        <w:pStyle w:val="Heading2"/>
      </w:pPr>
      <w:r>
        <w:t xml:space="preserve">8. Accessibility basics</w:t>
      </w:r>
    </w:p>
    <w:p>
      <w:pPr>
        <w:pStyle w:val="ListParagraph"/>
        <w:numPr>
          <w:ilvl w:val="0"/>
          <w:numId w:val="6"/>
        </w:numPr>
      </w:pPr>
      <w:r>
        <w:t xml:space="preserve">Text contrast of at least 4.5:1 for body text and 3:1 for large text.</w:t>
      </w:r>
    </w:p>
    <w:p>
      <w:pPr>
        <w:pStyle w:val="ListParagraph"/>
        <w:numPr>
          <w:ilvl w:val="0"/>
          <w:numId w:val="6"/>
        </w:numPr>
      </w:pPr>
      <w:r>
        <w:t xml:space="preserve">Buttons and tap targets at least 44 px high.</w:t>
      </w:r>
    </w:p>
    <w:p>
      <w:pPr>
        <w:pStyle w:val="ListParagraph"/>
        <w:numPr>
          <w:ilvl w:val="0"/>
          <w:numId w:val="6"/>
        </w:numPr>
      </w:pPr>
      <w:r>
        <w:t xml:space="preserve">A clear 2 px Sky 600 focus ring on every interactive element.</w:t>
      </w:r>
    </w:p>
    <w:p>
      <w:pPr>
        <w:pStyle w:val="ListParagraph"/>
        <w:numPr>
          <w:ilvl w:val="0"/>
          <w:numId w:val="6"/>
        </w:numPr>
      </w:pPr>
      <w:r>
        <w:t xml:space="preserve">Do not rely on colour alone: the slots-left badge also says “Sold out” in words.</w:t>
      </w:r>
    </w:p>
    <w:p>
      <w:pPr>
        <w:pStyle w:val="Heading2"/>
      </w:pPr>
      <w:r>
        <w:t xml:space="preserve">9. Open decisions</w:t>
      </w:r>
    </w:p>
    <w:p>
      <w:pPr>
        <w:pStyle w:val="ListParagraph"/>
        <w:numPr>
          <w:ilvl w:val="0"/>
          <w:numId w:val="7"/>
        </w:numPr>
      </w:pPr>
      <w:r>
        <w:t xml:space="preserve">Final product name and logo. The reference uses a small pin shape inside the logo text, which is a nice idea to reuse.</w:t>
      </w:r>
    </w:p>
    <w:p>
      <w:pPr>
        <w:pStyle w:val="ListParagraph"/>
        <w:numPr>
          <w:ilvl w:val="0"/>
          <w:numId w:val="7"/>
        </w:numPr>
      </w:pPr>
      <w:r>
        <w:t xml:space="preserve">Where the photos come from (own shoots, creators’ photos with permission, or a licensed library).</w:t>
      </w:r>
    </w:p>
    <w:p>
      <w:pPr>
        <w:pStyle w:val="ListParagraph"/>
        <w:numPr>
          <w:ilvl w:val="0"/>
          <w:numId w:val="7"/>
        </w:numPr>
      </w:pPr>
      <w:r>
        <w:t xml:space="preserve">Whether to add a dark mode later. Not needed for Release 1.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Design Guide Creator Trips (Release 1)</dc:title>
  <dc:description>Claude Docs node/71225158-de68@2 docx-w7</dc:description>
  <cp:revision>2</cp:revision>
</cp:coreProperties>
</file>