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rPr>
      </w:pPr>
      <w:bookmarkStart w:colFirst="0" w:colLast="0" w:name="_qqsmyvkeogr7" w:id="0"/>
      <w:bookmarkEnd w:id="0"/>
      <w:r w:rsidDel="00000000" w:rsidR="00000000" w:rsidRPr="00000000">
        <w:rPr>
          <w:rFonts w:ascii="Times New Roman" w:cs="Times New Roman" w:eastAsia="Times New Roman" w:hAnsi="Times New Roman"/>
          <w:b w:val="1"/>
          <w:bCs w:val="1"/>
          <w:rtl w:val="0"/>
        </w:rPr>
        <w:t xml:space="preserve">Compliance Flow</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srvut07q3x" w:id="1"/>
      <w:bookmarkEnd w:id="1"/>
      <w:r w:rsidDel="00000000" w:rsidR="00000000" w:rsidRPr="00000000">
        <w:rPr>
          <w:rFonts w:ascii="Times New Roman" w:cs="Times New Roman" w:eastAsia="Times New Roman" w:hAnsi="Times New Roman"/>
          <w:b w:val="1"/>
          <w:bCs w:val="1"/>
          <w:color w:val="000000"/>
          <w:sz w:val="26"/>
          <w:szCs w:val="26"/>
          <w:rtl w:val="0"/>
        </w:rPr>
        <w:t xml:space="preserve">Overview</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Flow combines the Policy Engine and the Semantic Verification Layer into a single sequential pipeline. Every LLM-generated response passes through both layers before delivery. The pipeline operates on four inputs — the raw response text, the retrieved chunk set, the original user query, and the organization ID.</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xei54777n4c" w:id="2"/>
      <w:bookmarkEnd w:id="2"/>
      <w:r w:rsidDel="00000000" w:rsidR="00000000" w:rsidRPr="00000000">
        <w:rPr>
          <w:rFonts w:ascii="Times New Roman" w:cs="Times New Roman" w:eastAsia="Times New Roman" w:hAnsi="Times New Roman"/>
          <w:b w:val="1"/>
          <w:bCs w:val="1"/>
          <w:color w:val="000000"/>
          <w:sz w:val="26"/>
          <w:szCs w:val="26"/>
          <w:rtl w:val="0"/>
        </w:rPr>
        <w:t xml:space="preserve">Flow</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Engine receives the response first. It extracts all pseudonymization tokens from the response text, assembles the </w:t>
      </w:r>
      <w:r w:rsidDel="00000000" w:rsidR="00000000" w:rsidRPr="00000000">
        <w:rPr>
          <w:rFonts w:ascii="Roboto Mono" w:cs="Roboto Mono" w:eastAsia="Roboto Mono" w:hAnsi="Roboto Mono"/>
          <w:color w:val="188038"/>
          <w:sz w:val="24"/>
          <w:szCs w:val="24"/>
          <w:rtl w:val="0"/>
        </w:rPr>
        <w:t xml:space="preserve">response_token_type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entity_token_count</w:t>
      </w:r>
      <w:r w:rsidDel="00000000" w:rsidR="00000000" w:rsidRPr="00000000">
        <w:rPr>
          <w:rFonts w:ascii="Times New Roman" w:cs="Times New Roman" w:eastAsia="Times New Roman" w:hAnsi="Times New Roman"/>
          <w:sz w:val="24"/>
          <w:szCs w:val="24"/>
          <w:rtl w:val="0"/>
        </w:rPr>
        <w:t xml:space="preserve"> context values, and evaluates them against the organization's rule set loaded from Redis. Rules are evaluated in ascending priority order. The first BLOCK match terminates the pipeline immediately — the Semantic Verification Layer does not execute and the fallback is returned to the user.</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Policy Engine passes the response, the Semantic Verification Layer computes two scores. The grounding score is the maximum cosine similarity between the response embedding and each retrieved chunk embedding. The relevance score is the cosine similarity between the response embedding and the query embedding. The query embedding is reused from retrieval. The response embedding is the only net-new computation.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scores are evaluated against the organization's configured thresholds — 0.75 for grounding and 0.70 for relevance by default. If grounding fails, the pipeline emits BLOCK. If grounding passes but relevance fails, the pipeline emits FLAG. If both pass, the pipeline emits ALLOW and the response is delivered with scores attached to the response metadata.</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2sd7jz6idj6" w:id="3"/>
      <w:bookmarkEnd w:id="3"/>
      <w:r w:rsidDel="00000000" w:rsidR="00000000" w:rsidRPr="00000000">
        <w:rPr>
          <w:rFonts w:ascii="Times New Roman" w:cs="Times New Roman" w:eastAsia="Times New Roman" w:hAnsi="Times New Roman"/>
          <w:b w:val="1"/>
          <w:bCs w:val="1"/>
          <w:color w:val="000000"/>
          <w:sz w:val="26"/>
          <w:szCs w:val="26"/>
          <w:rtl w:val="0"/>
        </w:rPr>
        <w:t xml:space="preserve">Decision Matrix</w:t>
      </w:r>
    </w:p>
    <w:tbl>
      <w:tblPr>
        <w:tblStyle w:val="Table1"/>
        <w:tblW w:w="6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0"/>
        <w:gridCol w:w="1355"/>
        <w:gridCol w:w="1265"/>
        <w:gridCol w:w="2090"/>
        <w:tblGridChange w:id="0">
          <w:tblGrid>
            <w:gridCol w:w="1640"/>
            <w:gridCol w:w="1355"/>
            <w:gridCol w:w="1265"/>
            <w:gridCol w:w="20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Terminal Decision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6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65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