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Jaisingh Innovations — Costing Tool</w:t>
      </w:r>
    </w:p>
    <w:p>
      <w:pPr>
        <w:spacing w:after="40"/>
      </w:pPr>
      <w:r>
        <w:rPr>
          <w:color w:val="444444"/>
          <w:sz w:val="30"/>
          <w:szCs w:val="30"/>
        </w:rPr>
        <w:t xml:space="preserve">Input Requirements — Handover README</w:t>
      </w:r>
    </w:p>
    <w:p>
      <w:pPr>
        <w:spacing w:after="320"/>
      </w:pPr>
      <w:r>
        <w:rPr>
          <w:i/>
          <w:iCs/>
          <w:color w:val="888888"/>
          <w:sz w:val="20"/>
          <w:szCs w:val="20"/>
        </w:rPr>
        <w:t xml:space="preserve">Draft — 23 August 2026. This document will be updated as the tool evolves; treat it as a living checklist, not a final spec.</w:t>
      </w:r>
    </w:p>
    <w:p>
      <w:pPr>
        <w:pStyle w:val="Heading1"/>
        <w:spacing w:after="160" w:before="360"/>
      </w:pPr>
      <w:r>
        <w:t xml:space="preserve">1. What this tool does</w:t>
      </w:r>
    </w:p>
    <w:p>
      <w:pPr>
        <w:spacing w:after="160"/>
      </w:pPr>
      <w:r>
        <w:t xml:space="preserve">This is a two-phase costing tool built around your SAP BOM dump. Phase 1 rolls up the actual bill-of-materials cost for a finished good (FG) — every raw material, sub-assembly and casting/moulding cost — into one live, cross-linked Excel workbook, mirroring the tab-per-part structure of your own manual costing sheets rather than flattening everything onto one page. Phase 2 takes that BOM cost and adds assembly cost, freight, and profit to arrive at a Selling Price and Gross Margin per FG.</w:t>
      </w:r>
    </w:p>
    <w:p>
      <w:pPr>
        <w:spacing w:after="160"/>
      </w:pPr>
      <w:r>
        <w:t xml:space="preserve">Once this README is followed for a new casting-based product, the same build script produces the same kind of output workbook — Summary, INPUT SHEET, CASTING &amp; MOULDING, one sheet per BOM part, ASSEMBLY RULES, CHANGE LOG, EXCEPTIONS — for that product instead of BY080.</w:t>
      </w:r>
    </w:p>
    <w:p>
      <w:pPr>
        <w:pStyle w:val="Heading1"/>
        <w:spacing w:after="160" w:before="360"/>
      </w:pPr>
      <w:r>
        <w:t xml:space="preserve">2. The five files needed for every run</w:t>
      </w:r>
    </w:p>
    <w:p>
      <w:pPr>
        <w:spacing w:after="160"/>
      </w:pPr>
      <w:r>
        <w:t xml:space="preserve">Every costing run needs five Excel files. The team should gather these before asking for a new product to be costed.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BOM Dump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tab per finished good, plus one tab per sub-assembly (driver, SPD, LED board, etc.) — see Section 3 for the structure this tool expects.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List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code → latest price-list rate and GRPO rate, each with a date. Price-list rate always wins over GRPO and over the dump’s own Last Purchase Price.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BP Catalogue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code → BP Catalog Number (the "12NC"), BP Catalog Description, and Item Description.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FG Price List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Finished-good item code → current selling price (used as "Current System FG Price" for comparison).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Sheet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fillable questionnaire your team completes per product — commodity rates, wattage per FG, assembly/freight cost per wattage, profit %, and the driver/SPD/LED-board assembly rules. Template attached separately (INPUT_SHEET_TEMPLATE.xlsx).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2.1 Price List — columns expected</w:t>
      </w:r>
    </w:p>
    <w:p>
      <w:pPr>
        <w:spacing w:after="160"/>
      </w:pPr>
      <w:r>
        <w:t xml:space="preserve">Column headers currently read (in order): # · ItemCode · ItemDescription · VendorCode · VendorName · LatestGRPONo · LatestGRPODate · GRPORate · PriceListRate · PriceUpdateDate · Variance. The tool reads ItemCode, GRPORate + LatestGRPODate, and PriceListRate + PriceUpdateDate.</w:t>
      </w:r>
    </w:p>
    <w:p>
      <w:pPr>
        <w:pStyle w:val="Heading2"/>
        <w:spacing w:after="120" w:before="280"/>
      </w:pPr>
      <w:r>
        <w:t xml:space="preserve">2.2 BP Catalogue — columns expected</w:t>
      </w:r>
    </w:p>
    <w:p>
      <w:pPr>
        <w:spacing w:after="160"/>
      </w:pPr>
      <w:r>
        <w:t xml:space="preserve">Column headers currently read: BP Code · BP Name · BP Catalog Number · BP Catalog Description · Item No. · Item Description. "Item No." is the JI item code the tool matches everything else against.</w:t>
      </w:r>
    </w:p>
    <w:p>
      <w:pPr>
        <w:pStyle w:val="Heading2"/>
        <w:spacing w:after="120" w:before="280"/>
      </w:pPr>
      <w:r>
        <w:t xml:space="preserve">2.3 FG Price List — columns expected</w:t>
      </w:r>
    </w:p>
    <w:p>
      <w:pPr>
        <w:spacing w:after="160"/>
      </w:pPr>
      <w:r>
        <w:t xml:space="preserve">Column headers currently read: Item No. · (blank) · Item Description · Base Price List · Factor · Base Price · Price · Manual · Inventory UoM · Pricing Unit. The tool reads Item No. and Price.</w:t>
      </w:r>
    </w:p>
    <w:p>
      <w:pPr>
        <w:pStyle w:val="Heading1"/>
        <w:spacing w:after="160" w:before="360"/>
      </w:pPr>
      <w:r>
        <w:t xml:space="preserve">3. SAP BOM Dump — structure the tool needs</w:t>
      </w:r>
    </w:p>
    <w:p>
      <w:pPr>
        <w:spacing w:after="160"/>
      </w:pPr>
      <w:r>
        <w:t xml:space="preserve">The dump can have its header row anywhere in the first seven rows (the tool scans for the row containing "No."), but each part’s row data needs these columns: No. (item code), Description, Quantity, UoM Name, Unit Price.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tab per finished good (FG) — e.g. a tab named exactly with the FG’s item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tab per sub-assembly that has its own BOM (driver, SPD, LED board, and any nested part) — again, tab name = item code. Any line item in a parent tab whose code matches another tab’s name is automatically treated as a live link to that sub-assembly, recursively, however many levels deep.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line whose Description contains a word like "inactive", "not in use", "discontinued", or "obsolete" is automatically dropped from the cost roll-up (and logged, not silently skipped).</w:t>
      </w:r>
    </w:p>
    <w:p>
      <w:pPr>
        <w:pStyle w:val="Heading2"/>
        <w:spacing w:after="120" w:before="280"/>
      </w:pPr>
      <w:r>
        <w:t xml:space="preserve">3.1 Naming conventions that drive automatic detection</w:t>
      </w:r>
    </w:p>
    <w:p>
      <w:pPr>
        <w:spacing w:after="160"/>
      </w:pPr>
      <w:r>
        <w:t xml:space="preserve">These conventions are what let the tool automatically apply the right rules without being told product-by-product. They are believed to be standard Jaisingh conventions, not BY080-specific — but please confirm they hold for the new product before the first run.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 the tool looks for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 sub-assembly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code starts with 206; the sheet’s own description (as referenced by its parent) starts with "MI_DRVR" or "MI-DRVR".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SPD sub-assembly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sheet’s own description starts with "MI_SPD" or "MI-SPD".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board sub-assembly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code starts with 204; the sheet’s own description starts with "LBRD".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chip line (inside an LED board)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code starts with 10106, or the code starts with "LED-".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"Potted" driver detection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driver’s own BOM contains a line whose description includes the word "ENCAPSULANT". If present → potted assembly % applies; if absent → non-potted % applies.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/ MI driver split ("205" codes)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driver’s "AI" (upper) portion should have its own tab in the dump, named for its 205-prefix code, linked from the driver’s 206 tab the same way any other sub-assembly is.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3.2 Categorisation — no input needed, but flag anything odd</w:t>
      </w:r>
    </w:p>
    <w:p>
      <w:pPr>
        <w:spacing w:after="160"/>
      </w:pPr>
      <w:r>
        <w:t xml:space="preserve">Every line item is auto-tagged Hardware / Packing / Housing / Electronics / Consumables / Wires / Labour, using the item code’s first 5 digits against a known-prefix table, then a keyword fallback (cable/wire → Wires, sticker/label → Packing, etc.). Anything that matches neither is left "Uncategorised" and logged in EXCEPTIONS for a manual tag — this needs no new input from your team, but the EXCEPTIONS sheet should be checked after the first run on a new product in case it introduces a new code-prefix family the tool hasn’t seen.</w:t>
      </w:r>
    </w:p>
    <w:p>
      <w:pPr>
        <w:pStyle w:val="Heading1"/>
        <w:spacing w:after="160" w:before="360"/>
      </w:pPr>
      <w:r>
        <w:t xml:space="preserve">4. Casting &amp; Moulding — the part that is genuinely product-specific</w:t>
      </w:r>
    </w:p>
    <w:p>
      <w:pPr>
        <w:shd w:fill="FFF2CC" w:val="clear"/>
        <w:spacing w:after="200"/>
      </w:pPr>
      <w:r>
        <w:rPr>
          <w:i/>
          <w:iCs/>
          <w:color w:val="666666"/>
        </w:rPr>
        <w:t xml:space="preserve">This is the one section that will very likely need new numbers for a new casting-based product. Everything else in this README is either automatic or filled in via the Input Sheet — this section needs numbers only your team has.</w:t>
      </w:r>
    </w:p>
    <w:p>
      <w:pPr>
        <w:spacing w:after="160"/>
      </w:pPr>
      <w:r>
        <w:t xml:space="preserve">BY080’s housing, driver cover, and diffuser are costed with a formula (weight × material rate + shot charge + fettling/finishing, plus powder coating where relevant) rather than a price-list lookup, because they’re cast/moulded in-house. That formula currently lives in the build script tied to three specific BY080 item codes: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BY080 item 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 inputs needed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Housing (ADC12 die-cast)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20203354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per shot (kg), melting loss %, ADC12 rate (₹/kg), shot charge (₹), fettling/grinding (₹), surface area (sq inch), powder-coat rate (₹/sq inch).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 cover (Kovestro virgin moulding)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10303995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(kg), Kovestro virgin rate (₹/kg), shot charge (₹), brass insert (₹), packing (₹).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Diffuser (Kovestro opaque moulding)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10310001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(kg), Kovestro opaque rate (₹/kg), shot charge (₹), brass insert (₹), packing (₹).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For the new product, please send: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item code(s) for its equivalent cast/moulded parts (housing, driver cover, diffuser, or whatever the new product’s mould-produced parts are called) — these will almost certainly be different codes from BY080’s.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same set of formula inputs shown in the table above, for each of those parts — weight, material and rate, shot charge, fettling/finishing cost, and (for the housing) surface area and powder-coat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new product reuses any of the same physical parts as BY080 (same mould), just confirm that and the existing numbers carry over — no new input needed for that part.</w:t>
      </w:r>
    </w:p>
    <w:p>
      <w:pPr>
        <w:spacing w:after="160"/>
      </w:pPr>
      <w:r>
        <w:t xml:space="preserve">Drill-tap cost and tool amortisation are deliberately excluded from the phase-1 total (kept as a visible reference line only) — that stays the same for any product unless you tell us otherwise.</w:t>
      </w:r>
    </w:p>
    <w:p>
      <w:pPr>
        <w:pStyle w:val="Heading1"/>
        <w:spacing w:after="160" w:before="360"/>
      </w:pPr>
      <w:r>
        <w:t xml:space="preserve">5. Top-level FG codes</w:t>
      </w:r>
    </w:p>
    <w:p>
      <w:pPr>
        <w:spacing w:after="160"/>
      </w:pPr>
      <w:r>
        <w:t xml:space="preserve">The build currently costs a fixed list of BY080 finished-good codes. For a new product, please confirm the exact list of FG item codes that should be treated as "the products to cost" (as opposed to sub-assemblies) — usually every code with its own dedicated top-level tab in the dump that represents a sellable finished good.</w:t>
      </w:r>
    </w:p>
    <w:p>
      <w:pPr>
        <w:pStyle w:val="Heading1"/>
        <w:spacing w:after="160" w:before="360"/>
      </w:pPr>
      <w:r>
        <w:t xml:space="preserve">6. Input Sheet — how your team should fill it in</w:t>
      </w:r>
    </w:p>
    <w:p>
      <w:pPr>
        <w:spacing w:after="160"/>
      </w:pPr>
      <w:r>
        <w:t xml:space="preserve">The Input Sheet (template attached) is the one file your team fills in by hand each run. A few things learned from the first BY080 trial, worth telling the team up front: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Percentages (Profit %, driver potted/non-potted %, SPD %) must be entered as a fraction — 0.15 for 15%, not 15 or 10. The tool will catch and auto-correct a whole number typed by mistake and flag it in EXCEPTIONS, but it is safer to get it right the first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Assembly &amp; Freight Cost table needs one row per distinct wattage used by the product’s FGs, not one row per FG — e.g. if the product has 36W and 40W versions, that table needs exactly two rows, even if five FGs share those two wattages.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Wattage can be typed as "36W" or a bare "36" — both are read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tool is wattage-based only for now. Length-based products (linear or curved-linear lights) are explicitly out of scope and will be handled by a separate deployment — do not try to force a length-based product through this Input 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"Other commodity" rows can be renamed to the actual material (e.g. "CRCA") with its rate filled in next to it — these are captured for future use even if the current casting formulas don’t reference them yet.</w:t>
      </w:r>
    </w:p>
    <w:p>
      <w:pPr>
        <w:pStyle w:val="Heading1"/>
        <w:spacing w:after="160" w:before="360"/>
      </w:pPr>
      <w:r>
        <w:t xml:space="preserve">7. What happens automatically — no extra input needed</w:t>
      </w:r>
    </w:p>
    <w:p>
      <w:pPr>
        <w:spacing w:after="160"/>
      </w:pPr>
      <w:r>
        <w:t xml:space="preserve">Once the five files above are in hand and follow the conventions in this document, everything below happens without further input: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resolution: price-list rate (latest by date) always wins over GRPO rate, which wins over the dump’s own undated Last Purchase Price. A resolved rate that differs 35%+ from the dump’s Last Purchase Price is still applied, just flagged for review (not held back).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Make/Buy split: anything linked to another sheet, driven by the Casting &amp; Moulding formula, or an assembly-rule labour line is "Make"; anything priced off the price list or SAP’s own last purchase price is "Buy".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roll-up: fully recursive through every linked sub-assembly, reconciling exactly to each sheet’s own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 / SPD / LED-board assembly cost: applied automatically once the naming conventions in Section 3.1 are followed, using the percentages/rates from the Input 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FG-level Assembly Cost, Freight Cost, Total Landed Cost, Selling Price, and Gross Margin: computed per FG by looking up that FG’s wattage against the Input Sheet’s Assembly &amp; Freight table and applying the Profit % — all live formulas, so editing the Input Sheet tab inside the output workbook recalculates everything downstream.</w:t>
      </w:r>
    </w:p>
    <w:p>
      <w:pPr>
        <w:pStyle w:val="Heading1"/>
        <w:spacing w:after="160" w:before="360"/>
      </w:pPr>
      <w:r>
        <w:t xml:space="preserve">8. Known limitations — still evolving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Length-based (linear/curved-linear) products are not supported by this tool — separate deployment planned.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Freight and assembly cost are wattage-based only; no other basis (e.g. per-unit flat, per-order) is wired in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Commodities beyond ADC12 and Kovestro (virgin/opaque) — e.g. Extrusion, PC, or a renamed "other commodity" — are captured in the Input Sheet but not yet wired into any formula, since BY080 doesn’t use them. They’ll need wiring when a product that does use them comes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"New price" in the customer-presentation table and Selling Price are the same figure by design (kept as two columns per an earlier request) — not a discrepancy if they match.</w:t>
      </w:r>
    </w:p>
    <w:p>
      <w:pPr>
        <w:spacing w:after="300"/>
      </w:pPr>
    </w:p>
    <w:p>
      <w:pPr>
        <w:pBdr>
          <w:top w:val="single" w:color="CCCCCC" w:sz="6"/>
        </w:pBdr>
        <w:spacing w:before="200"/>
      </w:pPr>
    </w:p>
    <w:p>
      <w:pPr>
        <w:spacing w:after="160"/>
      </w:pPr>
      <w:r>
        <w:rPr>
          <w:i/>
          <w:iCs/>
          <w:color w:val="666666"/>
        </w:rPr>
        <w:t xml:space="preserve">This README will be updated as the tool and its conventions evolve — treat this version as a starting checklist for the team, not a frozen spec.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2026-08-23T18:24:28.155Z</dcterms:created>
  <dcterms:modified xsi:type="dcterms:W3CDTF">2026-08-23T18:24:28.168Z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