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Jaisingh Innovations — Costing Tool</w:t>
      </w:r>
    </w:p>
    <w:p>
      <w:pPr>
        <w:spacing w:after="40"/>
      </w:pPr>
      <w:r>
        <w:rPr>
          <w:color w:val="444444"/>
          <w:sz w:val="30"/>
          <w:szCs w:val="30"/>
        </w:rPr>
        <w:t xml:space="preserve">Multi-Category Roadmap &amp; Checklist</w:t>
      </w:r>
    </w:p>
    <w:p>
      <w:pPr>
        <w:spacing w:after="320"/>
      </w:pPr>
      <w:r>
        <w:rPr>
          <w:i/>
          <w:iCs/>
          <w:color w:val="888888"/>
          <w:sz w:val="20"/>
          <w:szCs w:val="20"/>
        </w:rPr>
        <w:t xml:space="preserve">Living document — 23 August 2026. Update as steps complete or the plan changes; categories may get redefined as testing happens.</w:t>
      </w:r>
    </w:p>
    <w:p>
      <w:pPr>
        <w:pStyle w:val="Heading1"/>
        <w:spacing w:after="140" w:before="360"/>
      </w:pPr>
      <w:r>
        <w:t xml:space="preserve">Phase 0 — Foundations</w:t>
      </w:r>
    </w:p>
    <w:p>
      <w:pPr>
        <w:shd w:fill="2E7D32" w:val="clear"/>
        <w:spacing w:after="120"/>
        <w:ind w:left="0"/>
      </w:pPr>
      <w:r>
        <w:rPr>
          <w:b/>
          <w:bCs/>
          <w:color w:val="FFFFFF"/>
        </w:rPr>
        <w:t xml:space="preserve">DONE</w:t>
      </w:r>
    </w:p>
    <w:p>
      <w:pPr>
        <w:spacing w:after="90"/>
        <w:ind w:left="260"/>
      </w:pPr>
      <w:r>
        <w:rPr>
          <w:b/>
          <w:bCs/>
          <w:color w:val="2E7D32"/>
        </w:rPr>
        <w:t xml:space="preserve">☑  </w:t>
      </w:r>
      <w:r>
        <w:rPr>
          <w:strike w:val="false"/>
          <w:color w:val="333333"/>
        </w:rPr>
        <w:t xml:space="preserve">Phase 1 node-graph BOM cost roll-up built: categorization, Make/Buy split, fully recursive category roll-up, price-list-priority resolution, human override mechanism.</w:t>
      </w:r>
    </w:p>
    <w:p>
      <w:pPr>
        <w:spacing w:after="90"/>
        <w:ind w:left="260"/>
      </w:pPr>
      <w:r>
        <w:rPr>
          <w:b/>
          <w:bCs/>
          <w:color w:val="2E7D32"/>
        </w:rPr>
        <w:t xml:space="preserve">☑  </w:t>
      </w:r>
      <w:r>
        <w:rPr>
          <w:strike w:val="false"/>
          <w:color w:val="333333"/>
        </w:rPr>
        <w:t xml:space="preserve">Phase 2 built: Input Sheet (standalone file + embedded output tab), Selling Price, Total Landed Cost, Gross Margin (vs current price and vs Selling Price), FG Pricing Summary table per FG sheet, Driver Cost Breakdown table per driver sheet.</w:t>
      </w:r>
    </w:p>
    <w:p>
      <w:pPr>
        <w:spacing w:after="90"/>
        <w:ind w:left="260"/>
      </w:pPr>
      <w:r>
        <w:rPr>
          <w:b/>
          <w:bCs/>
          <w:color w:val="2E7D32"/>
        </w:rPr>
        <w:t xml:space="preserve">☑  </w:t>
      </w:r>
      <w:r>
        <w:rPr>
          <w:strike w:val="false"/>
          <w:color w:val="333333"/>
        </w:rPr>
        <w:t xml:space="preserve">BY080 (casting-based) trial run on real data — confirmed correct by the user (2026-08-23).</w:t>
      </w:r>
    </w:p>
    <w:p>
      <w:pPr>
        <w:pStyle w:val="Heading1"/>
        <w:spacing w:after="140" w:before="360"/>
      </w:pPr>
      <w:r>
        <w:t xml:space="preserve">Category 1 — Casting-based products</w:t>
      </w:r>
    </w:p>
    <w:p>
      <w:pPr>
        <w:shd w:fill="C97A00" w:val="clear"/>
        <w:spacing w:after="120"/>
        <w:ind w:left="0"/>
      </w:pPr>
      <w:r>
        <w:rPr>
          <w:b/>
          <w:bCs/>
          <w:color w:val="FFFFFF"/>
        </w:rPr>
        <w:t xml:space="preserve">IN PROGRESS</w:t>
      </w:r>
    </w:p>
    <w:p>
      <w:pPr>
        <w:spacing w:after="90"/>
        <w:ind w:left="260"/>
      </w:pPr>
      <w:r>
        <w:rPr>
          <w:b/>
          <w:bCs/>
          <w:color w:val="2E7D32"/>
        </w:rPr>
        <w:t xml:space="preserve">☑  </w:t>
      </w:r>
      <w:r>
        <w:rPr>
          <w:strike w:val="false"/>
          <w:color w:val="333333"/>
        </w:rPr>
        <w:t xml:space="preserve">Casting &amp; Moulding formula sheet built (housing / driver cover / diffuser: weight × material rate + shot charge + fettling, + powder coating where relevant).</w:t>
      </w:r>
    </w:p>
    <w:p>
      <w:pPr>
        <w:spacing w:after="90"/>
        <w:ind w:left="260"/>
      </w:pPr>
      <w:r>
        <w:rPr>
          <w:b/>
          <w:bCs/>
          <w:color w:val="2E7D32"/>
        </w:rPr>
        <w:t xml:space="preserve">☑  </w:t>
      </w:r>
      <w:r>
        <w:rPr>
          <w:strike w:val="false"/>
          <w:color w:val="333333"/>
        </w:rPr>
        <w:t xml:space="preserve">Driver / SPD / LED-board assembly rules built (potted / non-potted %, SPD %, SMD + testing cost).</w:t>
      </w:r>
    </w:p>
    <w:p>
      <w:pPr>
        <w:spacing w:after="90"/>
        <w:ind w:left="260"/>
      </w:pPr>
      <w:r>
        <w:rPr>
          <w:b/>
          <w:bCs/>
          <w:color w:val="2E7D32"/>
        </w:rPr>
        <w:t xml:space="preserve">☑  </w:t>
      </w:r>
      <w:r>
        <w:rPr>
          <w:strike w:val="false"/>
          <w:color w:val="333333"/>
        </w:rPr>
        <w:t xml:space="preserve">Validated end-to-end on BY080.</w:t>
      </w:r>
    </w:p>
    <w:p>
      <w:pPr>
        <w:shd w:fill="FFF2CC" w:val="clear"/>
        <w:spacing w:after="90" w:before="40"/>
        <w:ind w:left="260"/>
      </w:pPr>
      <w:r>
        <w:rPr>
          <w:b/>
          <w:bCs/>
          <w:color w:val="B45309"/>
        </w:rPr>
        <w:t xml:space="preserve">☐  NEXT STEP — </w:t>
      </w:r>
      <w:r>
        <w:rPr>
          <w:b/>
          <w:bCs/>
        </w:rPr>
        <w:t xml:space="preserve">Test this casting-based costing on OTHER casting-based products (not just BY080), to confirm the rules and conventions actually generalize rather than happening to work for one product. Expect rules/categories to get refined as this surfaces edge cases.</w:t>
      </w:r>
    </w:p>
    <w:p>
      <w:pPr>
        <w:spacing w:after="90"/>
        <w:ind w:left="260"/>
      </w:pPr>
      <w:r>
        <w:rPr>
          <w:b/>
          <w:bCs/>
        </w:rPr>
        <w:t xml:space="preserve">☐  </w:t>
      </w:r>
      <w:r>
        <w:t xml:space="preserve">Once validated across multiple casting products, mark Category 1 complete.</w:t>
      </w:r>
    </w:p>
    <w:p>
      <w:pPr>
        <w:pStyle w:val="Heading1"/>
        <w:spacing w:after="140" w:before="360"/>
      </w:pPr>
      <w:r>
        <w:t xml:space="preserve">Category 2 — Extrusion-based products (batten, linear, curved linear)</w:t>
      </w:r>
    </w:p>
    <w:p>
      <w:pPr>
        <w:shd w:fill="888888" w:val="clear"/>
        <w:spacing w:after="120"/>
        <w:ind w:left="0"/>
      </w:pPr>
      <w:r>
        <w:rPr>
          <w:b/>
          <w:bCs/>
          <w:color w:val="FFFFFF"/>
        </w:rPr>
        <w:t xml:space="preserve">NOT STARTED</w:t>
      </w:r>
    </w:p>
    <w:p>
      <w:pPr>
        <w:spacing w:after="90"/>
        <w:ind w:left="260"/>
      </w:pPr>
      <w:r>
        <w:rPr>
          <w:b/>
          <w:bCs/>
        </w:rPr>
        <w:t xml:space="preserve">☐  </w:t>
      </w:r>
      <w:r>
        <w:t xml:space="preserve">Design extrusion-based costing logic — these are length-based, not wattage-based (explicitly out of scope for the current wattage-only tool).</w:t>
      </w:r>
    </w:p>
    <w:p>
      <w:pPr>
        <w:spacing w:after="90"/>
        <w:ind w:left="260"/>
      </w:pPr>
      <w:r>
        <w:rPr>
          <w:b/>
          <w:bCs/>
        </w:rPr>
        <w:t xml:space="preserve">☐  </w:t>
      </w:r>
      <w:r>
        <w:t xml:space="preserve">Determine the formula inputs needed (extrusion rate ₹/kg or ₹/metre, length-based assembly cost, length-based freight cost).</w:t>
      </w:r>
    </w:p>
    <w:p>
      <w:pPr>
        <w:spacing w:after="90"/>
        <w:ind w:left="260"/>
      </w:pPr>
      <w:r>
        <w:rPr>
          <w:b/>
          <w:bCs/>
        </w:rPr>
        <w:t xml:space="preserve">☐  </w:t>
      </w:r>
      <w:r>
        <w:t xml:space="preserve">Build and validate on one sample extrusion-based product.</w:t>
      </w:r>
    </w:p>
    <w:p>
      <w:pPr>
        <w:spacing w:after="90"/>
        <w:ind w:left="260"/>
      </w:pPr>
      <w:r>
        <w:rPr>
          <w:b/>
          <w:bCs/>
        </w:rPr>
        <w:t xml:space="preserve">☐  </w:t>
      </w:r>
      <w:r>
        <w:t xml:space="preserve">Test on multiple extrusion-based products before moving to Category 3.</w:t>
      </w:r>
    </w:p>
    <w:p>
      <w:pPr>
        <w:pStyle w:val="Heading1"/>
        <w:spacing w:after="140" w:before="360"/>
      </w:pPr>
      <w:r>
        <w:t xml:space="preserve">Category 3 — Import-based products (bought from China, landed cost)</w:t>
      </w:r>
    </w:p>
    <w:p>
      <w:pPr>
        <w:shd w:fill="888888" w:val="clear"/>
        <w:spacing w:after="120"/>
        <w:ind w:left="0"/>
      </w:pPr>
      <w:r>
        <w:rPr>
          <w:b/>
          <w:bCs/>
          <w:color w:val="FFFFFF"/>
        </w:rPr>
        <w:t xml:space="preserve">NOT STARTED</w:t>
      </w:r>
    </w:p>
    <w:p>
      <w:pPr>
        <w:spacing w:after="90"/>
        <w:ind w:left="260"/>
      </w:pPr>
      <w:r>
        <w:rPr>
          <w:b/>
          <w:bCs/>
        </w:rPr>
        <w:t xml:space="preserve">☐  </w:t>
      </w:r>
      <w:r>
        <w:t xml:space="preserve">Design import costing logic: import multiplication factor, exchange rate, landed cost calculation (and any customs/duty if applicable).</w:t>
      </w:r>
    </w:p>
    <w:p>
      <w:pPr>
        <w:spacing w:after="90"/>
        <w:ind w:left="260"/>
      </w:pPr>
      <w:r>
        <w:rPr>
          <w:b/>
          <w:bCs/>
        </w:rPr>
        <w:t xml:space="preserve">☐  </w:t>
      </w:r>
      <w:r>
        <w:t xml:space="preserve">Determine the Input Sheet fields needed (import multiplier, exchange rate, freight from origin, any duty/customs %).</w:t>
      </w:r>
    </w:p>
    <w:p>
      <w:pPr>
        <w:spacing w:after="90"/>
        <w:ind w:left="260"/>
      </w:pPr>
      <w:r>
        <w:rPr>
          <w:b/>
          <w:bCs/>
        </w:rPr>
        <w:t xml:space="preserve">☐  </w:t>
      </w:r>
      <w:r>
        <w:t xml:space="preserve">Build and validate on one sample import-based product.</w:t>
      </w:r>
    </w:p>
    <w:p>
      <w:pPr>
        <w:spacing w:after="90"/>
        <w:ind w:left="260"/>
      </w:pPr>
      <w:r>
        <w:rPr>
          <w:b/>
          <w:bCs/>
        </w:rPr>
        <w:t xml:space="preserve">☐  </w:t>
      </w:r>
      <w:r>
        <w:t xml:space="preserve">Test on multiple import-based products before moving to Category 4.</w:t>
      </w:r>
    </w:p>
    <w:p>
      <w:pPr>
        <w:pStyle w:val="Heading1"/>
        <w:spacing w:after="140" w:before="360"/>
      </w:pPr>
      <w:r>
        <w:t xml:space="preserve">Category 4 — Completely bought-out products</w:t>
      </w:r>
    </w:p>
    <w:p>
      <w:pPr>
        <w:shd w:fill="888888" w:val="clear"/>
        <w:spacing w:after="120"/>
        <w:ind w:left="0"/>
      </w:pPr>
      <w:r>
        <w:rPr>
          <w:b/>
          <w:bCs/>
          <w:color w:val="FFFFFF"/>
        </w:rPr>
        <w:t xml:space="preserve">NOT STARTED</w:t>
      </w:r>
    </w:p>
    <w:p>
      <w:pPr>
        <w:spacing w:after="90"/>
        <w:ind w:left="260"/>
      </w:pPr>
      <w:r>
        <w:rPr>
          <w:b/>
          <w:bCs/>
        </w:rPr>
        <w:t xml:space="preserve">☐  </w:t>
      </w:r>
      <w:r>
        <w:t xml:space="preserve">Design simplified costing logic (likely just purchase / landed cost + margin, no BOM assembly roll-up).</w:t>
      </w:r>
    </w:p>
    <w:p>
      <w:pPr>
        <w:spacing w:after="90"/>
        <w:ind w:left="260"/>
      </w:pPr>
      <w:r>
        <w:rPr>
          <w:b/>
          <w:bCs/>
        </w:rPr>
        <w:t xml:space="preserve">☐  </w:t>
      </w:r>
      <w:r>
        <w:t xml:space="preserve">Determine the Input Sheet fields needed.</w:t>
      </w:r>
    </w:p>
    <w:p>
      <w:pPr>
        <w:spacing w:after="90"/>
        <w:ind w:left="260"/>
      </w:pPr>
      <w:r>
        <w:rPr>
          <w:b/>
          <w:bCs/>
        </w:rPr>
        <w:t xml:space="preserve">☐  </w:t>
      </w:r>
      <w:r>
        <w:t xml:space="preserve">Build and validate on one sample bought-out product.</w:t>
      </w:r>
    </w:p>
    <w:p>
      <w:pPr>
        <w:spacing w:after="90"/>
        <w:ind w:left="260"/>
      </w:pPr>
      <w:r>
        <w:rPr>
          <w:b/>
          <w:bCs/>
        </w:rPr>
        <w:t xml:space="preserve">☐  </w:t>
      </w:r>
      <w:r>
        <w:t xml:space="preserve">Test on multiple bought-out products before combining categories.</w:t>
      </w:r>
    </w:p>
    <w:p>
      <w:pPr>
        <w:pStyle w:val="Heading1"/>
        <w:spacing w:after="140" w:before="360"/>
      </w:pPr>
      <w:r>
        <w:t xml:space="preserve">Cross-category work</w:t>
      </w:r>
    </w:p>
    <w:p>
      <w:pPr>
        <w:shd w:fill="888888" w:val="clear"/>
        <w:spacing w:after="120"/>
        <w:ind w:left="0"/>
      </w:pPr>
      <w:r>
        <w:rPr>
          <w:b/>
          <w:bCs/>
          <w:color w:val="FFFFFF"/>
        </w:rPr>
        <w:t xml:space="preserve">NOT STARTED</w:t>
      </w:r>
    </w:p>
    <w:p>
      <w:pPr>
        <w:spacing w:after="90"/>
        <w:ind w:left="260"/>
      </w:pPr>
      <w:r>
        <w:rPr>
          <w:b/>
          <w:bCs/>
        </w:rPr>
        <w:t xml:space="preserve">☐  </w:t>
      </w:r>
      <w:r>
        <w:t xml:space="preserve">Add a "Product Category" question to the Input Sheet: Casting-based / Extrusion-based / Import-based / Completely bought-out — this answer determines which costing logic path the build applies for that run.</w:t>
      </w:r>
    </w:p>
    <w:p>
      <w:pPr>
        <w:spacing w:after="90"/>
        <w:ind w:left="260"/>
      </w:pPr>
      <w:r>
        <w:rPr>
          <w:b/>
          <w:bCs/>
        </w:rPr>
        <w:t xml:space="preserve">☐  </w:t>
      </w:r>
      <w:r>
        <w:t xml:space="preserve">Combine all four category-specific costing paths into ONE unified working tool that routes by the category answer, rather than four separate scripts.</w:t>
      </w:r>
    </w:p>
    <w:p>
      <w:pPr>
        <w:spacing w:after="90"/>
        <w:ind w:left="260"/>
      </w:pPr>
      <w:r>
        <w:rPr>
          <w:b/>
          <w:bCs/>
        </w:rPr>
        <w:t xml:space="preserve">☐  </w:t>
      </w:r>
      <w:r>
        <w:t xml:space="preserve">Build a customer-facing output format — convert the tool’s internal output (Summary, per-part sheets, etc.) into whatever format is meant to go to a customer, separate from the internal working sheets.</w:t>
      </w:r>
    </w:p>
    <w:p>
      <w:pPr>
        <w:pStyle w:val="Heading1"/>
        <w:spacing w:after="140" w:before="360"/>
      </w:pPr>
      <w:r>
        <w:t xml:space="preserve">Deployment</w:t>
      </w:r>
    </w:p>
    <w:p>
      <w:pPr>
        <w:shd w:fill="888888" w:val="clear"/>
        <w:spacing w:after="120"/>
        <w:ind w:left="0"/>
      </w:pPr>
      <w:r>
        <w:rPr>
          <w:b/>
          <w:bCs/>
          <w:color w:val="FFFFFF"/>
        </w:rPr>
        <w:t xml:space="preserve">NOT STARTED — deferred until all of the above is done</w:t>
      </w:r>
    </w:p>
    <w:p>
      <w:pPr>
        <w:spacing w:after="90"/>
        <w:ind w:left="260"/>
      </w:pPr>
      <w:r>
        <w:rPr>
          <w:b/>
          <w:bCs/>
        </w:rPr>
        <w:t xml:space="preserve">☐  </w:t>
      </w:r>
      <w:r>
        <w:t xml:space="preserve">Resume / redesign the Cloudflare portal deployment, once all four categories are built, combined into one tool, and validated.</w:t>
      </w:r>
    </w:p>
    <w:p>
      <w:pPr>
        <w:pStyle w:val="Heading1"/>
        <w:spacing w:after="140" w:before="360"/>
      </w:pPr>
      <w:r>
        <w:t xml:space="preserve">Standing principles</w:t>
      </w:r>
    </w:p>
    <w:p>
      <w:pPr>
        <w:spacing w:after="140"/>
      </w:pPr>
      <w:r>
        <w:t xml:space="preserve">Test each category on multiple products before moving to the next one — one successful trial does not prove the category’s rules generalize.</w:t>
      </w:r>
    </w:p>
    <w:p>
      <w:pPr>
        <w:spacing w:after="140"/>
      </w:pPr>
      <w:r>
        <w:t xml:space="preserve">Categories and their exact rules may get redefined as testing surfaces real-world cases — keep this checklist updated rather than treating it as fixed.</w:t>
      </w:r>
    </w:p>
    <w:p>
      <w:pPr>
        <w:spacing w:after="140"/>
      </w:pPr>
      <w:r>
        <w:t xml:space="preserve">Every formula change gets verified via independent recalculation (LibreOffice headless) before being reported or delivered — standing practice for this whole engagement, applies to every future category too.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2026-08-23T18:27:09.214Z</dcterms:created>
  <dcterms:modified xsi:type="dcterms:W3CDTF">2026-08-23T18:27:09.214Z</dcterms:modified>
</cp:coreProperties>
</file>

<file path=docProps/custom.xml><?xml version="1.0" encoding="utf-8"?>
<Properties xmlns="http://schemas.openxmlformats.org/officeDocument/2006/custom-properties" xmlns:vt="http://schemas.openxmlformats.org/officeDocument/2006/docPropsVTypes"/>
</file>