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the frequent itemsets and strong association rules for the below transaction data considering minimum support count=2 and minimum confidence threshold of 70%.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781050</wp:posOffset>
            </wp:positionV>
            <wp:extent cx="2690813" cy="26908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690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the frequent itemsets and strong association rules for the below transaction data considering minimum support = 60% and minimum confidence threshold of 80%.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43163" cy="17261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726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 the frequent itemsets and strong association rules for the below transaction data considering minimum support = 60% and minimum confidence threshold of 80%.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SPECTF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 </w:t>
      </w:r>
      <w:r w:rsidDel="00000000" w:rsidR="00000000" w:rsidRPr="00000000">
        <w:rPr>
          <w:rtl w:val="0"/>
        </w:rPr>
        <w:t xml:space="preserve">: Consider the first 20 rows and 5 columns for generating frequent itemsets and association rules.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u/1/folders/1ri6B6AYyHT5hIWkvZzbbeXQq2seqZi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