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E6B5D"/>
        </w:rPr>
        <w:t>CNAP API — Backend Features &amp; Security Report</w:t>
      </w:r>
    </w:p>
    <w:p>
      <w:r>
        <w:t xml:space="preserve">A multi-tenant, RBAC-guarded NestJS backend for the </w:t>
      </w:r>
      <w:r>
        <w:rPr>
          <w:b/>
        </w:rPr>
        <w:t>Community Needs Assessment Platform (Project Rio)</w:t>
      </w:r>
      <w:r>
        <w:t>. Tenant isolation is enforced in the database, not the application. This report covers what is built, how it works, its security posture, and the full data schema.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Repo</w:t>
            </w:r>
          </w:p>
        </w:tc>
        <w:tc>
          <w:tcPr>
            <w:tcW w:type="dxa" w:w="504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Project-RIO-Backend</w:t>
            </w:r>
            <w:r>
              <w:rPr>
                <w:sz w:val="19"/>
              </w:rPr>
              <w:t xml:space="preserve"> (package name </w:t>
            </w:r>
            <w:r>
              <w:rPr>
                <w:rFonts w:ascii="Consolas" w:hAnsi="Consolas"/>
                <w:color w:val="A8432A"/>
                <w:sz w:val="19"/>
              </w:rPr>
              <w:t>cnap-api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Branch</w:t>
            </w:r>
          </w:p>
        </w:tc>
        <w:tc>
          <w:tcPr>
            <w:tcW w:type="dxa" w:w="504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main</w:t>
            </w:r>
            <w:r>
              <w:rPr>
                <w:sz w:val="19"/>
              </w:rPr>
              <w:t xml:space="preserve"> (feature branch </w:t>
            </w:r>
            <w:r>
              <w:rPr>
                <w:rFonts w:ascii="Consolas" w:hAnsi="Consolas"/>
                <w:color w:val="A8432A"/>
                <w:sz w:val="19"/>
              </w:rPr>
              <w:t>feat/rio-domain-rbac</w:t>
            </w:r>
            <w:r>
              <w:rPr>
                <w:sz w:val="19"/>
              </w:rPr>
              <w:t xml:space="preserve"> merged via PR #1, </w:t>
            </w:r>
            <w:r>
              <w:rPr>
                <w:rFonts w:ascii="Consolas" w:hAnsi="Consolas"/>
                <w:color w:val="A8432A"/>
                <w:sz w:val="19"/>
              </w:rPr>
              <w:t>99b7335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As of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2026-07-13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Stack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NestJS 11 · Prisma 7 · PostgreSQL 18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Verification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82 tests green / 23 files (Vitest unit + supertest e2e against a real Docker DB)</w:t>
            </w:r>
          </w:p>
        </w:tc>
      </w:tr>
    </w:tbl>
    <w:p/>
    <w:p>
      <w:pPr>
        <w:ind w:left="216"/>
        <w:pBdr>
          <w:left w:val="single" w:sz="18" w:space="8" w:color="0E6B5D"/>
        </w:pBdr>
        <w:shd w:val="clear" w:fill="EAF2F0"/>
      </w:pPr>
      <w:r>
        <w:rPr>
          <w:i/>
          <w:color w:val="55635F"/>
        </w:rPr>
        <w:t xml:space="preserve">Compiled from the committed state of </w:t>
      </w:r>
      <w:r>
        <w:rPr>
          <w:rFonts w:ascii="Consolas" w:hAnsi="Consolas"/>
          <w:i/>
          <w:color w:val="A8432A"/>
          <w:sz w:val="19"/>
        </w:rPr>
        <w:t>main</w:t>
      </w:r>
      <w:r>
        <w:rPr>
          <w:i/>
          <w:color w:val="55635F"/>
        </w:rPr>
        <w:t xml:space="preserve">: </w:t>
      </w:r>
      <w:r>
        <w:rPr>
          <w:rFonts w:ascii="Consolas" w:hAnsi="Consolas"/>
          <w:i/>
          <w:color w:val="A8432A"/>
          <w:sz w:val="19"/>
        </w:rPr>
        <w:t>prisma/schema.prisma</w:t>
      </w:r>
      <w:r>
        <w:rPr>
          <w:i/>
          <w:color w:val="55635F"/>
        </w:rPr>
        <w:t xml:space="preserve"> + migrations, </w:t>
      </w:r>
      <w:r>
        <w:rPr>
          <w:rFonts w:ascii="Consolas" w:hAnsi="Consolas"/>
          <w:i/>
          <w:color w:val="A8432A"/>
          <w:sz w:val="19"/>
        </w:rPr>
        <w:t>src/rbac/role-matrix.ts</w:t>
      </w:r>
      <w:r>
        <w:rPr>
          <w:i/>
          <w:color w:val="55635F"/>
        </w:rPr>
        <w:t xml:space="preserve">, the security/tenancy/auth modules, </w:t>
      </w:r>
      <w:r>
        <w:rPr>
          <w:rFonts w:ascii="Consolas" w:hAnsi="Consolas"/>
          <w:i/>
          <w:color w:val="A8432A"/>
          <w:sz w:val="19"/>
        </w:rPr>
        <w:t>ARCHITECTURE.md</w:t>
      </w:r>
      <w:r>
        <w:rPr>
          <w:i/>
          <w:color w:val="55635F"/>
        </w:rPr>
        <w:t xml:space="preserve">, and </w:t>
      </w:r>
      <w:r>
        <w:rPr>
          <w:rFonts w:ascii="Consolas" w:hAnsi="Consolas"/>
          <w:i/>
          <w:color w:val="A8432A"/>
          <w:sz w:val="19"/>
        </w:rPr>
        <w:t>docs/traceability-matrix.md</w:t>
      </w:r>
      <w:r>
        <w:rPr>
          <w:i/>
          <w:color w:val="55635F"/>
        </w:rPr>
        <w:t xml:space="preserve">. All work described here is merged and committed — the identity/RBAC/org/user/audit foundation plus a post-merge </w:t>
      </w:r>
      <w:r>
        <w:rPr>
          <w:b/>
          <w:i/>
          <w:color w:val="55635F"/>
        </w:rPr>
        <w:t>security-review hardening pass</w:t>
      </w:r>
      <w:r>
        <w:rPr>
          <w:i/>
          <w:color w:val="55635F"/>
        </w:rPr>
        <w:t xml:space="preserve"> (commit </w:t>
      </w:r>
      <w:r>
        <w:rPr>
          <w:rFonts w:ascii="Consolas" w:hAnsi="Consolas"/>
          <w:i/>
          <w:color w:val="A8432A"/>
          <w:sz w:val="19"/>
        </w:rPr>
        <w:t>3eedad9</w:t>
      </w:r>
      <w:r>
        <w:rPr>
          <w:i/>
          <w:color w:val="55635F"/>
        </w:rPr>
        <w:t xml:space="preserve">) covering input validation, DB-cert verification, audit attribution, and a fail-closed RLS CI gate. Note: the </w:t>
      </w:r>
      <w:r>
        <w:rPr>
          <w:rFonts w:ascii="Consolas" w:hAnsi="Consolas"/>
          <w:i/>
          <w:color w:val="A8432A"/>
          <w:sz w:val="19"/>
        </w:rPr>
        <w:t>traceability-matrix.md</w:t>
      </w:r>
      <w:r>
        <w:rPr>
          <w:i/>
          <w:color w:val="55635F"/>
        </w:rPr>
        <w:t xml:space="preserve"> header still reads "75 tests / feat branch"; the authoritative current count on </w:t>
      </w:r>
      <w:r>
        <w:rPr>
          <w:rFonts w:ascii="Consolas" w:hAnsi="Consolas"/>
          <w:i/>
          <w:color w:val="A8432A"/>
          <w:sz w:val="19"/>
        </w:rPr>
        <w:t>main</w:t>
      </w:r>
      <w:r>
        <w:rPr>
          <w:i/>
          <w:color w:val="55635F"/>
        </w:rPr>
        <w:t xml:space="preserve"> is </w:t>
      </w:r>
      <w:r>
        <w:rPr>
          <w:b/>
          <w:i/>
          <w:color w:val="55635F"/>
        </w:rPr>
        <w:t>82</w:t>
      </w:r>
      <w:r>
        <w:rPr>
          <w:i/>
          <w:color w:val="55635F"/>
        </w:rPr>
        <w:t>.</w:t>
      </w:r>
    </w:p>
    <w:p>
      <w:r>
        <w:rPr>
          <w:b/>
        </w:rPr>
        <w:t>Status key:</w:t>
      </w:r>
      <w:r>
        <w:t xml:space="preserve"> ✅ Done · 🟡 Partial · ⛔ Not built · ⬜ Frontend / N-A</w:t>
      </w:r>
    </w:p>
    <w:p>
      <w:pPr>
        <w:pBdr>
          <w:bottom w:val="single" w:sz="6" w:space="1" w:color="C9D2CF"/>
        </w:pBdr>
      </w:pPr>
    </w:p>
    <w:p>
      <w:pPr>
        <w:pStyle w:val="Heading1"/>
      </w:pPr>
      <w:r>
        <w:rPr>
          <w:color w:val="0E6B5D"/>
        </w:rPr>
        <w:t>1. Security posture at a glance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Area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State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Tenant isolation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DB Row-Level Security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FORCE RLS, fail-closed. Empty context returns zero rows, never an error.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Authorization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RBAC · 9 × 12 × 6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Single source of truth, seeded to DB *and* enforced in-memory — cannot drift.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Authentication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argon2id + JWT bearer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5-fail lockout, timing-safe login. OTP / password-reset pending.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Encryption in transit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TLS on both hops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App HTTPS + HSTS; app→DB over TLS 1.3. Self-signed dev cert — needs CA cert in prod.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Audit trail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Append-only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Actor · IP · UA · time + before/after diffs. No UPDATE/DELETE grant.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Verification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82 tests · real DB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Vitest unit + supertest e2e against a seeded Postgres, incl. a fail-closed RLS gate. Build clean.</w:t>
            </w:r>
          </w:p>
        </w:tc>
      </w:tr>
    </w:tbl>
    <w:p/>
    <w:p>
      <w:r>
        <w:t>The backend implements the identity, tenancy, RBAC, auth, and audit layer. The domain assessment pipeline (studies → scoring → reports) is scoped but not yet built.</w:t>
      </w:r>
    </w:p>
    <w:p>
      <w:pPr>
        <w:pBdr>
          <w:bottom w:val="single" w:sz="6" w:space="1" w:color="C9D2CF"/>
        </w:pBdr>
      </w:pPr>
    </w:p>
    <w:p>
      <w:pPr>
        <w:pStyle w:val="Heading1"/>
      </w:pPr>
      <w:r>
        <w:rPr>
          <w:color w:val="0E6B5D"/>
        </w:rPr>
        <w:t>2. Features implemented</w:t>
      </w:r>
    </w:p>
    <w:p>
      <w:r>
        <w:t xml:space="preserve">Six feature areas ship as independent NestJS modules. Every route is annotated with a required permission </w:t>
      </w:r>
      <w:r>
        <w:rPr>
          <w:rFonts w:ascii="Consolas" w:hAnsi="Consolas"/>
          <w:color w:val="A8432A"/>
          <w:sz w:val="19"/>
        </w:rPr>
        <w:t>@RequirePermission(module, action)</w:t>
      </w:r>
      <w:r>
        <w:t xml:space="preserve">; cross-organisation reads additionally require a role flagged </w:t>
      </w:r>
      <w:r>
        <w:rPr>
          <w:rFonts w:ascii="Consolas" w:hAnsi="Consolas"/>
          <w:color w:val="A8432A"/>
          <w:sz w:val="19"/>
        </w:rPr>
        <w:t>crossEntity</w:t>
      </w:r>
      <w:r>
        <w:t>.</w:t>
      </w:r>
    </w:p>
    <w:p>
      <w:pPr>
        <w:pStyle w:val="Heading2"/>
      </w:pPr>
      <w:r>
        <w:rPr>
          <w:color w:val="0E6B5D"/>
        </w:rPr>
        <w:t>Feature modules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Module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Capability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roles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Read-only 9-role permission matrix (no in-app role authoring)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auth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Login, session (</w:t>
            </w:r>
            <w:r>
              <w:rPr>
                <w:rFonts w:ascii="Consolas" w:hAnsi="Consolas"/>
                <w:color w:val="A8432A"/>
                <w:sz w:val="19"/>
              </w:rPr>
              <w:t>me</w:t>
            </w:r>
            <w:r>
              <w:rPr>
                <w:sz w:val="19"/>
              </w:rPr>
              <w:t>), logout, per-user consent capture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organizations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Own-org read/update; System-Admin list-all, get-by-id, create-org-with-first-admin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users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List, invite (status </w:t>
            </w:r>
            <w:r>
              <w:rPr>
                <w:rFonts w:ascii="Consolas" w:hAnsi="Consolas"/>
                <w:color w:val="A8432A"/>
                <w:sz w:val="19"/>
              </w:rPr>
              <w:t>invited</w:t>
            </w:r>
            <w:r>
              <w:rPr>
                <w:sz w:val="19"/>
              </w:rPr>
              <w:t>), update; System-Admin cross-org list/invite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audit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Query immutable audit trail; own-org or cross-org; entity/actor filters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health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Liveness probe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assessment pipeline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Studies → define-need (AI) → survey → collection → scoring → reports → sharing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⛔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dataImport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A8432A"/>
                <w:sz w:val="19"/>
              </w:rPr>
              <w:t>citizenChannel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Permissions seeded but features deliberately inert this phase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⛔</w:t>
            </w:r>
          </w:p>
        </w:tc>
      </w:tr>
    </w:tbl>
    <w:p/>
    <w:p>
      <w:pPr>
        <w:pStyle w:val="Heading2"/>
      </w:pPr>
      <w:r>
        <w:rPr>
          <w:color w:val="0E6B5D"/>
        </w:rPr>
        <w:t>Endpoint inventory</w:t>
      </w:r>
    </w:p>
    <w:p>
      <w:r>
        <w:t xml:space="preserve">Global prefix </w:t>
      </w:r>
      <w:r>
        <w:rPr>
          <w:rFonts w:ascii="Consolas" w:hAnsi="Consolas"/>
          <w:color w:val="A8432A"/>
          <w:sz w:val="19"/>
        </w:rPr>
        <w:t>/api</w:t>
      </w:r>
      <w:r>
        <w:t xml:space="preserve">, default port </w:t>
      </w:r>
      <w:r>
        <w:rPr>
          <w:rFonts w:ascii="Consolas" w:hAnsi="Consolas"/>
          <w:color w:val="A8432A"/>
          <w:sz w:val="19"/>
        </w:rPr>
        <w:t>4000</w:t>
      </w:r>
      <w:r>
        <w:t xml:space="preserve">. Response body is the raw payload (no wrapper); errors use a consistent </w:t>
      </w:r>
      <w:r>
        <w:rPr>
          <w:rFonts w:ascii="Consolas" w:hAnsi="Consolas"/>
          <w:color w:val="A8432A"/>
          <w:sz w:val="19"/>
        </w:rPr>
        <w:t>{ error{code,message}, message, code }</w:t>
      </w:r>
      <w:r>
        <w:t xml:space="preserve"> envelope.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Method</w:t>
            </w:r>
          </w:p>
        </w:tc>
        <w:tc>
          <w:tcPr>
            <w:tcW w:type="dxa" w:w="252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Path</w:t>
            </w:r>
          </w:p>
        </w:tc>
        <w:tc>
          <w:tcPr>
            <w:tcW w:type="dxa" w:w="252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Purpose</w:t>
            </w:r>
          </w:p>
        </w:tc>
        <w:tc>
          <w:tcPr>
            <w:tcW w:type="dxa" w:w="252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Permission gate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/api/roles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Full role × permission matrix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rolesPermissions:read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/api/auth/login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Exchange credentials for a session + JWT (200)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open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/api/auth/me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Current session context (re-issues token)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authenticated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/api/auth/logout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Record logout event (204; stateless)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authenticated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/api/auth/consent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Accept active consent policy + snapshot it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authenticated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/api/organizations/current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Caller's own organisation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entityTeam:read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PATCH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/api/organizations/current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Update own organisation (diff audited)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entityTeam:write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/api/organizations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All orgs + member counts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entityTeam:read</w:t>
            </w:r>
            <w:r>
              <w:rPr>
                <w:sz w:val="19"/>
              </w:rPr>
              <w:t xml:space="preserve"> + crossEntity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/api/organizations/:id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One org by id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entityTeam:read</w:t>
            </w:r>
            <w:r>
              <w:rPr>
                <w:sz w:val="19"/>
              </w:rPr>
              <w:t xml:space="preserve"> + crossEntity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/api/organizations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Create org + first NGO Admin together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entityTeam:create</w:t>
            </w:r>
            <w:r>
              <w:rPr>
                <w:sz w:val="19"/>
              </w:rPr>
              <w:t xml:space="preserve"> + crossEntity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/api/users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 xml:space="preserve">Own-org users; </w:t>
            </w:r>
            <w:r>
              <w:rPr>
                <w:rFonts w:ascii="Consolas" w:hAnsi="Consolas"/>
                <w:color w:val="A8432A"/>
                <w:sz w:val="19"/>
              </w:rPr>
              <w:t>?organizationId</w:t>
            </w:r>
            <w:r>
              <w:rPr>
                <w:sz w:val="19"/>
              </w:rPr>
              <w:t xml:space="preserve"> → cross-org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entityTeam:read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/api/users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Invite a user (status invited)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entityTeam:create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PATCH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/api/users/:id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Update name / role / status (diff audited)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entityTeam:write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/api/audit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Audit events; filters + pagination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archiveSharingAudit:read</w:t>
            </w:r>
          </w:p>
        </w:tc>
      </w:tr>
    </w:tbl>
    <w:p/>
    <w:p>
      <w:pPr>
        <w:pBdr>
          <w:bottom w:val="single" w:sz="6" w:space="1" w:color="C9D2CF"/>
        </w:pBdr>
      </w:pPr>
    </w:p>
    <w:p>
      <w:pPr>
        <w:pStyle w:val="Heading1"/>
      </w:pPr>
      <w:r>
        <w:rPr>
          <w:color w:val="0E6B5D"/>
        </w:rPr>
        <w:t>3. How it is implemented</w:t>
      </w:r>
    </w:p>
    <w:p>
      <w:pPr>
        <w:pStyle w:val="Heading2"/>
      </w:pPr>
      <w:r>
        <w:rPr>
          <w:color w:val="0E6B5D"/>
        </w:rPr>
        <w:t>Technology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Concern</w:t>
            </w:r>
          </w:p>
        </w:tc>
        <w:tc>
          <w:tcPr>
            <w:tcW w:type="dxa" w:w="504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Choice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Runtime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NestJS 11 · Node 24 LTS · TypeScript 5 strict (</w:t>
            </w:r>
            <w:r>
              <w:rPr>
                <w:rFonts w:ascii="Consolas" w:hAnsi="Consolas"/>
                <w:color w:val="A8432A"/>
                <w:sz w:val="19"/>
              </w:rPr>
              <w:t>noUncheckedIndexedAccess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Data access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Prisma 7 driver-adapter (</w:t>
            </w:r>
            <w:r>
              <w:rPr>
                <w:rFonts w:ascii="Consolas" w:hAnsi="Consolas"/>
                <w:color w:val="A8432A"/>
                <w:sz w:val="19"/>
              </w:rPr>
              <w:t>@prisma/adapter-pg</w:t>
            </w:r>
            <w:r>
              <w:rPr>
                <w:sz w:val="19"/>
              </w:rPr>
              <w:t xml:space="preserve">); client generated to </w:t>
            </w:r>
            <w:r>
              <w:rPr>
                <w:rFonts w:ascii="Consolas" w:hAnsi="Consolas"/>
                <w:color w:val="A8432A"/>
                <w:sz w:val="19"/>
              </w:rPr>
              <w:t>src/generated/prisma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Database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PostgreSQL 18 with Row-Level Security + 3 login roles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Identity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argon2id hashing · stateless JWT bearer (</w:t>
            </w:r>
            <w:r>
              <w:rPr>
                <w:rFonts w:ascii="Consolas" w:hAnsi="Consolas"/>
                <w:color w:val="A8432A"/>
                <w:sz w:val="19"/>
              </w:rPr>
              <w:t>@nestjs/jwt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Validation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TypeBox + AJV for both environment config and request bodies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HTTP hardening</w:t>
            </w:r>
          </w:p>
        </w:tc>
        <w:tc>
          <w:tcPr>
            <w:tcW w:type="dxa" w:w="504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helmet</w:t>
            </w:r>
            <w:r>
              <w:rPr>
                <w:sz w:val="19"/>
              </w:rPr>
              <w:t xml:space="preserve"> (HSTS) · </w:t>
            </w:r>
            <w:r>
              <w:rPr>
                <w:rFonts w:ascii="Consolas" w:hAnsi="Consolas"/>
                <w:color w:val="A8432A"/>
                <w:sz w:val="19"/>
              </w:rPr>
              <w:t>cookie-parser</w:t>
            </w:r>
            <w:r>
              <w:rPr>
                <w:sz w:val="19"/>
              </w:rPr>
              <w:t xml:space="preserve"> · global exception filter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Logging</w:t>
            </w:r>
          </w:p>
        </w:tc>
        <w:tc>
          <w:tcPr>
            <w:tcW w:type="dxa" w:w="504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nestjs-pino</w:t>
            </w:r>
            <w:r>
              <w:rPr>
                <w:sz w:val="19"/>
              </w:rPr>
              <w:t xml:space="preserve"> — structured, request-id correlated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Testing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Vitest 4 (unit, faked tenancy) + supertest e2e against a real Docker DB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Packaging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pnpm · Docker Compose (TLS-enabled Postgres image)</w:t>
            </w:r>
          </w:p>
        </w:tc>
      </w:tr>
    </w:tbl>
    <w:p/>
    <w:p>
      <w:pPr>
        <w:pStyle w:val="Heading2"/>
      </w:pPr>
      <w:r>
        <w:rPr>
          <w:color w:val="0E6B5D"/>
        </w:rPr>
        <w:t>Request lifecycle</w:t>
      </w:r>
    </w:p>
    <w:p>
      <w:pPr>
        <w:ind w:left="144"/>
        <w:shd w:val="clear" w:fill="F2F4F3"/>
      </w:pPr>
      <w:r>
        <w:rPr>
          <w:rFonts w:ascii="Consolas" w:hAnsi="Consolas"/>
          <w:sz w:val="17"/>
        </w:rPr>
        <w:t>HTTP</w:t>
        <w:br/>
        <w:t xml:space="preserve">  → OrgContextMiddleware   builds OrgStore (AsyncLocalStorage): requestId, ip, ua; dev x-org-id/x-role seam</w:t>
        <w:br/>
        <w:t xml:space="preserve">  → JwtAuthGuard  (global) bearer → verified claims overwrite OrgStore; invalid token = 401; absent = non-blocking</w:t>
        <w:br/>
        <w:t xml:space="preserve">  → PermissionGuard (global) @RequirePermission(module, action) vs OrgStore.role in ROLE_MATRIX</w:t>
        <w:br/>
        <w:t xml:space="preserve">  → Controller → Service   typed payloads; AuditService.record() on every mutation</w:t>
        <w:br/>
        <w:t xml:space="preserve">  → TenantPrismaService    sets app.current_org_id GUC inside a pinned transaction</w:t>
        <w:br/>
        <w:t xml:space="preserve">  → Postgres (RLS)         policy filters every row</w:t>
      </w:r>
    </w:p>
    <w:p>
      <w:r>
        <w:rPr>
          <w:rFonts w:ascii="Consolas" w:hAnsi="Consolas"/>
          <w:color w:val="A8432A"/>
          <w:sz w:val="19"/>
        </w:rPr>
        <w:t>OrgStore</w:t>
      </w:r>
      <w:r>
        <w:t xml:space="preserve"> is an </w:t>
      </w:r>
      <w:r>
        <w:rPr>
          <w:rFonts w:ascii="Consolas" w:hAnsi="Consolas"/>
          <w:color w:val="A8432A"/>
          <w:sz w:val="19"/>
        </w:rPr>
        <w:t>AsyncLocalStorage</w:t>
      </w:r>
      <w:r>
        <w:t xml:space="preserve"> record carrying </w:t>
      </w:r>
      <w:r>
        <w:rPr>
          <w:rFonts w:ascii="Consolas" w:hAnsi="Consolas"/>
          <w:color w:val="A8432A"/>
          <w:sz w:val="19"/>
        </w:rPr>
        <w:t>{ requestId, orgId?, actorId?, role?, ip?, userAgent? }</w:t>
      </w:r>
      <w:r>
        <w:t xml:space="preserve"> for the life of a request; everything downstream reads it instead of threading context through call signatures.</w:t>
      </w:r>
    </w:p>
    <w:p>
      <w:pPr>
        <w:pStyle w:val="Heading2"/>
      </w:pPr>
      <w:r>
        <w:rPr>
          <w:color w:val="0E6B5D"/>
        </w:rPr>
        <w:t xml:space="preserve">Tenancy access paths — </w:t>
      </w:r>
      <w:r>
        <w:rPr>
          <w:rFonts w:ascii="Consolas" w:hAnsi="Consolas"/>
          <w:color w:val="A8432A"/>
          <w:sz w:val="19"/>
        </w:rPr>
        <w:t>TenantPrismaService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Method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DB role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runInOrgContext(fn)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Ambient authenticated read/write scoped to the caller's org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cnap_app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runAsOrg(orgId, fn)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Explicit-org bootstrap: org creation, login counters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cnap_app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runAsSupervisor(fn)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Cross-org </w:t>
            </w:r>
            <w:r>
              <w:rPr>
                <w:b/>
                <w:sz w:val="19"/>
              </w:rPr>
              <w:t>reads</w:t>
            </w:r>
            <w:r>
              <w:rPr>
                <w:sz w:val="19"/>
              </w:rPr>
              <w:t xml:space="preserve"> for crossEntity roles; pre-login email lookup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cnap_supervisor</w:t>
            </w:r>
          </w:p>
        </w:tc>
      </w:tr>
    </w:tbl>
    <w:p/>
    <w:p>
      <w:r>
        <w:t>Services never call Prisma directly — all data access flows through these three methods, so an unset org context can only ever return zero rows, never leak across tenants.</w:t>
      </w:r>
    </w:p>
    <w:p>
      <w:pPr>
        <w:pBdr>
          <w:bottom w:val="single" w:sz="6" w:space="1" w:color="C9D2CF"/>
        </w:pBdr>
      </w:pPr>
    </w:p>
    <w:p>
      <w:pPr>
        <w:pStyle w:val="Heading1"/>
      </w:pPr>
      <w:r>
        <w:rPr>
          <w:color w:val="0E6B5D"/>
        </w:rPr>
        <w:t>4. Security &amp; how secure we are</w:t>
      </w:r>
    </w:p>
    <w:p>
      <w:r>
        <w:t>Security is layered, defence-in-depth: even if an application bug forgot to scope a query, the database still refuses to return another tenant's rows. Eight pillars carry the posture.</w:t>
      </w:r>
    </w:p>
    <w:p>
      <w:r>
        <w:rPr>
          <w:b/>
        </w:rPr>
        <w:t>1. Tenant isolation — enforced by the database</w:t>
      </w:r>
    </w:p>
    <w:p>
      <w:pPr>
        <w:pStyle w:val="ListBullet"/>
      </w:pPr>
      <w:r>
        <w:t xml:space="preserve">Every tenant table has </w:t>
      </w:r>
      <w:r>
        <w:rPr>
          <w:rFonts w:ascii="Consolas" w:hAnsi="Consolas"/>
          <w:color w:val="A8432A"/>
          <w:sz w:val="19"/>
        </w:rPr>
        <w:t>FORCE ROW LEVEL SECURITY</w:t>
      </w:r>
      <w:r>
        <w:t xml:space="preserve"> with a fail-closed policy: </w:t>
      </w:r>
      <w:r>
        <w:rPr>
          <w:rFonts w:ascii="Consolas" w:hAnsi="Consolas"/>
          <w:color w:val="A8432A"/>
          <w:sz w:val="19"/>
        </w:rPr>
        <w:t>org_id = NULLIF(current_setting('app.current_org_id', true), '')::uuid</w:t>
      </w:r>
      <w:r>
        <w:t>.</w:t>
      </w:r>
    </w:p>
    <w:p>
      <w:pPr>
        <w:pStyle w:val="ListBullet"/>
      </w:pPr>
      <w:r>
        <w:t xml:space="preserve">An unset/empty org context yields </w:t>
      </w:r>
      <w:r>
        <w:rPr>
          <w:b/>
        </w:rPr>
        <w:t>zero rows</w:t>
      </w:r>
      <w:r>
        <w:t xml:space="preserve"> — never an error, never a leak. FORCE applies the policy even to the table owner.</w:t>
      </w:r>
    </w:p>
    <w:p>
      <w:pPr>
        <w:pStyle w:val="ListBullet"/>
      </w:pPr>
      <w:r>
        <w:t xml:space="preserve">The org id is a </w:t>
      </w:r>
      <w:r>
        <w:rPr>
          <w:b/>
        </w:rPr>
        <w:t>transaction-local</w:t>
      </w:r>
      <w:r>
        <w:t xml:space="preserve"> setting inside a pinned Prisma transaction, so it cannot bleed across pooled connections.</w:t>
      </w:r>
    </w:p>
    <w:p>
      <w:r>
        <w:rPr>
          <w:b/>
        </w:rPr>
        <w:t>2. Least privilege — three database roles</w:t>
      </w:r>
    </w:p>
    <w:p>
      <w:pPr>
        <w:pStyle w:val="ListBullet"/>
      </w:pPr>
      <w:r>
        <w:rPr>
          <w:rFonts w:ascii="Consolas" w:hAnsi="Consolas"/>
          <w:color w:val="A8432A"/>
          <w:sz w:val="19"/>
        </w:rPr>
        <w:t>cnap_owner</w:t>
      </w:r>
      <w:r>
        <w:t xml:space="preserve"> — migrations &amp; seed only (Prisma CLI). The running app </w:t>
      </w:r>
      <w:r>
        <w:rPr>
          <w:b/>
        </w:rPr>
        <w:t>never holds owner credentials</w:t>
      </w:r>
      <w:r>
        <w:t>; the env schema deliberately excludes them.</w:t>
      </w:r>
    </w:p>
    <w:p>
      <w:pPr>
        <w:pStyle w:val="ListBullet"/>
      </w:pPr>
      <w:r>
        <w:rPr>
          <w:rFonts w:ascii="Consolas" w:hAnsi="Consolas"/>
          <w:color w:val="A8432A"/>
          <w:sz w:val="19"/>
        </w:rPr>
        <w:t>cnap_app</w:t>
      </w:r>
      <w:r>
        <w:t xml:space="preserve"> — runtime, </w:t>
      </w:r>
      <w:r>
        <w:rPr>
          <w:rFonts w:ascii="Consolas" w:hAnsi="Consolas"/>
          <w:color w:val="A8432A"/>
          <w:sz w:val="19"/>
        </w:rPr>
        <w:t>NOBYPASSRLS</w:t>
      </w:r>
      <w:r>
        <w:t xml:space="preserve">. DML on tenant tables; </w:t>
      </w:r>
      <w:r>
        <w:rPr>
          <w:b/>
        </w:rPr>
        <w:t>SELECT + INSERT only</w:t>
      </w:r>
      <w:r>
        <w:t xml:space="preserve"> on </w:t>
      </w:r>
      <w:r>
        <w:rPr>
          <w:rFonts w:ascii="Consolas" w:hAnsi="Consolas"/>
          <w:color w:val="A8432A"/>
          <w:sz w:val="19"/>
        </w:rPr>
        <w:t>audit_logs</w:t>
      </w:r>
      <w:r>
        <w:t xml:space="preserve"> (append-only); SELECT-only on reference tables.</w:t>
      </w:r>
    </w:p>
    <w:p>
      <w:pPr>
        <w:pStyle w:val="ListBullet"/>
      </w:pPr>
      <w:r>
        <w:rPr>
          <w:rFonts w:ascii="Consolas" w:hAnsi="Consolas"/>
          <w:color w:val="A8432A"/>
          <w:sz w:val="19"/>
        </w:rPr>
        <w:t>cnap_supervisor</w:t>
      </w:r>
      <w:r>
        <w:t xml:space="preserve"> — runtime, </w:t>
      </w:r>
      <w:r>
        <w:rPr>
          <w:rFonts w:ascii="Consolas" w:hAnsi="Consolas"/>
          <w:color w:val="A8432A"/>
          <w:sz w:val="19"/>
        </w:rPr>
        <w:t>NOBYPASSRLS</w:t>
      </w:r>
      <w:r>
        <w:t xml:space="preserve">, </w:t>
      </w:r>
      <w:r>
        <w:rPr>
          <w:b/>
        </w:rPr>
        <w:t>SELECT-only cross-org</w:t>
      </w:r>
      <w:r>
        <w:t xml:space="preserve">. The only cross-tenant read path; there is </w:t>
      </w:r>
      <w:r>
        <w:rPr>
          <w:b/>
        </w:rPr>
        <w:t>no cross-tenant write path</w:t>
      </w:r>
      <w:r>
        <w:t xml:space="preserve"> anywhere.</w:t>
      </w:r>
    </w:p>
    <w:p>
      <w:r>
        <w:rPr>
          <w:b/>
        </w:rPr>
        <w:t>3. Authorization — one source of truth, no drift</w:t>
      </w:r>
    </w:p>
    <w:p>
      <w:pPr>
        <w:pStyle w:val="ListBullet"/>
      </w:pPr>
      <w:r>
        <w:rPr>
          <w:rFonts w:ascii="Consolas" w:hAnsi="Consolas"/>
          <w:color w:val="A8432A"/>
          <w:sz w:val="19"/>
        </w:rPr>
        <w:t>ROLE_MATRIX</w:t>
      </w:r>
      <w:r>
        <w:t xml:space="preserve"> (9 roles × 12 modules × 6 actions) is both </w:t>
      </w:r>
      <w:r>
        <w:rPr>
          <w:b/>
        </w:rPr>
        <w:t>seeded into the database</w:t>
      </w:r>
      <w:r>
        <w:t xml:space="preserve"> and </w:t>
      </w:r>
      <w:r>
        <w:rPr>
          <w:b/>
        </w:rPr>
        <w:t>read in-memory</w:t>
      </w:r>
      <w:r>
        <w:t xml:space="preserve"> by the guard, so enforcement and stored permissions cannot diverge.</w:t>
      </w:r>
    </w:p>
    <w:p>
      <w:pPr>
        <w:pStyle w:val="ListBullet"/>
      </w:pPr>
      <w:r>
        <w:t xml:space="preserve">Roles are </w:t>
      </w:r>
      <w:r>
        <w:rPr>
          <w:b/>
        </w:rPr>
        <w:t>read-only</w:t>
      </w:r>
      <w:r>
        <w:t xml:space="preserve"> — no in-app role authoring — removing a whole class of privilege-configuration mistakes.</w:t>
      </w:r>
    </w:p>
    <w:p>
      <w:pPr>
        <w:pStyle w:val="ListBullet"/>
      </w:pPr>
      <w:r>
        <w:rPr>
          <w:b/>
        </w:rPr>
        <w:t>Privilege-escalation guard:</w:t>
      </w:r>
      <w:r>
        <w:t xml:space="preserve"> only a </w:t>
      </w:r>
      <w:r>
        <w:rPr>
          <w:rFonts w:ascii="Consolas" w:hAnsi="Consolas"/>
          <w:color w:val="A8432A"/>
          <w:sz w:val="19"/>
        </w:rPr>
        <w:t>crossEntity</w:t>
      </w:r>
      <w:r>
        <w:t xml:space="preserve"> caller may assign a </w:t>
      </w:r>
      <w:r>
        <w:rPr>
          <w:rFonts w:ascii="Consolas" w:hAnsi="Consolas"/>
          <w:color w:val="A8432A"/>
          <w:sz w:val="19"/>
        </w:rPr>
        <w:t>crossEntity</w:t>
      </w:r>
      <w:r>
        <w:t xml:space="preserve"> role, so a tenant admin cannot mint a platform-wide account.</w:t>
      </w:r>
    </w:p>
    <w:p>
      <w:r>
        <w:rPr>
          <w:b/>
        </w:rPr>
        <w:t>4. Authentication — hashing, tokens, lockout</w:t>
      </w:r>
    </w:p>
    <w:p>
      <w:pPr>
        <w:pStyle w:val="ListBullet"/>
      </w:pPr>
      <w:r>
        <w:t xml:space="preserve">Passwords hashed with </w:t>
      </w:r>
      <w:r>
        <w:rPr>
          <w:b/>
        </w:rPr>
        <w:t>argon2id</w:t>
      </w:r>
      <w:r>
        <w:t xml:space="preserve">. JWT secret must be ≥ 32 chars (validated at boot); tokens carry </w:t>
      </w:r>
      <w:r>
        <w:rPr>
          <w:rFonts w:ascii="Consolas" w:hAnsi="Consolas"/>
          <w:color w:val="A8432A"/>
          <w:sz w:val="19"/>
        </w:rPr>
        <w:t>sub · orgId · roleKey</w:t>
      </w:r>
      <w:r>
        <w:t xml:space="preserve"> and expire in 12h.</w:t>
      </w:r>
    </w:p>
    <w:p>
      <w:pPr>
        <w:pStyle w:val="ListBullet"/>
      </w:pPr>
      <w:r>
        <w:rPr>
          <w:b/>
        </w:rPr>
        <w:t>5-failure account lockout</w:t>
      </w:r>
      <w:r>
        <w:t xml:space="preserve"> for 15 minutes (HTTP 423). Login is </w:t>
      </w:r>
      <w:r>
        <w:rPr>
          <w:b/>
        </w:rPr>
        <w:t>timing-equalised</w:t>
      </w:r>
      <w:r>
        <w:t xml:space="preserve"> — a dummy hash verify on the not-found path defeats username enumeration by response time.</w:t>
      </w:r>
    </w:p>
    <w:p>
      <w:pPr>
        <w:pStyle w:val="ListBullet"/>
      </w:pPr>
      <w:r>
        <w:t xml:space="preserve">A deactivated organisation is rejected </w:t>
      </w:r>
      <w:r>
        <w:rPr>
          <w:b/>
        </w:rPr>
        <w:t>after</w:t>
      </w:r>
      <w:r>
        <w:t xml:space="preserve"> credential verification, so org state is never revealed to an unauthenticated caller.</w:t>
      </w:r>
    </w:p>
    <w:p>
      <w:r>
        <w:rPr>
          <w:b/>
        </w:rPr>
        <w:t>5. Consent — versioned &amp; immutable</w:t>
      </w:r>
    </w:p>
    <w:p>
      <w:pPr>
        <w:pStyle w:val="ListBullet"/>
      </w:pPr>
      <w:r>
        <w:t xml:space="preserve">Consent policies are versioned; accepting one writes an </w:t>
      </w:r>
      <w:r>
        <w:rPr>
          <w:b/>
        </w:rPr>
        <w:t>immutable snapshot</w:t>
      </w:r>
      <w:r>
        <w:t xml:space="preserve"> to </w:t>
      </w:r>
      <w:r>
        <w:rPr>
          <w:rFonts w:ascii="Consolas" w:hAnsi="Consolas"/>
          <w:color w:val="A8432A"/>
          <w:sz w:val="19"/>
        </w:rPr>
        <w:t>consent_acceptances</w:t>
      </w:r>
      <w:r>
        <w:t xml:space="preserve"> capturing the version </w:t>
      </w:r>
      <w:r>
        <w:rPr>
          <w:b/>
        </w:rPr>
        <w:t>and the exact policy text</w:t>
      </w:r>
      <w:r>
        <w:t xml:space="preserve"> at accept-time.</w:t>
      </w:r>
    </w:p>
    <w:p>
      <w:pPr>
        <w:pStyle w:val="ListBullet"/>
      </w:pPr>
      <w:r>
        <w:t>Onboarding is admin-provisioned + per-user consent — there is no public self-signup surface.</w:t>
      </w:r>
    </w:p>
    <w:p>
      <w:r>
        <w:rPr>
          <w:b/>
        </w:rPr>
        <w:t>6. Audit — append-only, before/after</w:t>
      </w:r>
    </w:p>
    <w:p>
      <w:pPr>
        <w:pStyle w:val="ListBullet"/>
      </w:pPr>
      <w:r>
        <w:t xml:space="preserve">Every mutation calls </w:t>
      </w:r>
      <w:r>
        <w:rPr>
          <w:rFonts w:ascii="Consolas" w:hAnsi="Consolas"/>
          <w:color w:val="A8432A"/>
          <w:sz w:val="19"/>
        </w:rPr>
        <w:t>AuditService.record()</w:t>
      </w:r>
      <w:r>
        <w:t xml:space="preserve"> capturing </w:t>
      </w:r>
      <w:r>
        <w:rPr>
          <w:b/>
        </w:rPr>
        <w:t>actor · IP · user-agent · timestamp</w:t>
      </w:r>
      <w:r>
        <w:t xml:space="preserve"> plus a </w:t>
      </w:r>
      <w:r>
        <w:rPr>
          <w:rFonts w:ascii="Consolas" w:hAnsi="Consolas"/>
          <w:color w:val="A8432A"/>
          <w:sz w:val="19"/>
        </w:rPr>
        <w:t>changes[]</w:t>
      </w:r>
      <w:r>
        <w:t xml:space="preserve"> array of </w:t>
      </w:r>
      <w:r>
        <w:rPr>
          <w:rFonts w:ascii="Consolas" w:hAnsi="Consolas"/>
          <w:color w:val="A8432A"/>
          <w:sz w:val="19"/>
        </w:rPr>
        <w:t>{field, before, after}</w:t>
      </w:r>
      <w:r>
        <w:t>.</w:t>
      </w:r>
    </w:p>
    <w:p>
      <w:pPr>
        <w:pStyle w:val="ListBullet"/>
      </w:pPr>
      <w:r>
        <w:t xml:space="preserve">Immutability is enforced </w:t>
      </w:r>
      <w:r>
        <w:rPr>
          <w:b/>
        </w:rPr>
        <w:t>at the database</w:t>
      </w:r>
      <w:r>
        <w:t xml:space="preserve"> — </w:t>
      </w:r>
      <w:r>
        <w:rPr>
          <w:rFonts w:ascii="Consolas" w:hAnsi="Consolas"/>
          <w:color w:val="A8432A"/>
          <w:sz w:val="19"/>
        </w:rPr>
        <w:t>cnap_app</w:t>
      </w:r>
      <w:r>
        <w:t xml:space="preserve"> has no UPDATE/DELETE grant on </w:t>
      </w:r>
      <w:r>
        <w:rPr>
          <w:rFonts w:ascii="Consolas" w:hAnsi="Consolas"/>
          <w:color w:val="A8432A"/>
          <w:sz w:val="19"/>
        </w:rPr>
        <w:t>audit_logs</w:t>
      </w:r>
      <w:r>
        <w:t>. Cross-org queries are read via the supervisor role.</w:t>
      </w:r>
    </w:p>
    <w:p>
      <w:r>
        <w:rPr>
          <w:b/>
        </w:rPr>
        <w:t>7. Encryption in transit &amp; at rest</w:t>
      </w:r>
    </w:p>
    <w:p>
      <w:pPr>
        <w:pStyle w:val="ListBullet"/>
      </w:pPr>
      <w:r>
        <w:rPr>
          <w:b/>
        </w:rPr>
        <w:t>In transit (client→app):</w:t>
      </w:r>
      <w:r>
        <w:t xml:space="preserve"> serves HTTPS directly when a cert/key are configured (with </w:t>
      </w:r>
      <w:r>
        <w:rPr>
          <w:b/>
        </w:rPr>
        <w:t>HSTS</w:t>
      </w:r>
      <w:r>
        <w:t>), otherwise HTTP behind a TLS-terminating proxy.</w:t>
      </w:r>
    </w:p>
    <w:p>
      <w:pPr>
        <w:pStyle w:val="ListBullet"/>
      </w:pPr>
      <w:r>
        <w:rPr>
          <w:b/>
        </w:rPr>
        <w:t>In transit (app→DB):</w:t>
      </w:r>
      <w:r>
        <w:t xml:space="preserve"> connects to Postgres over </w:t>
      </w:r>
      <w:r>
        <w:rPr>
          <w:b/>
        </w:rPr>
        <w:t>TLS 1.3</w:t>
      </w:r>
      <w:r>
        <w:t xml:space="preserve"> (</w:t>
      </w:r>
      <w:r>
        <w:rPr>
          <w:rFonts w:ascii="Consolas" w:hAnsi="Consolas"/>
          <w:color w:val="A8432A"/>
          <w:sz w:val="19"/>
        </w:rPr>
        <w:t>DB_SSL=true</w:t>
      </w:r>
      <w:r>
        <w:t xml:space="preserve">, default-on with the compose db that ships </w:t>
      </w:r>
      <w:r>
        <w:rPr>
          <w:rFonts w:ascii="Consolas" w:hAnsi="Consolas"/>
          <w:color w:val="A8432A"/>
          <w:sz w:val="19"/>
        </w:rPr>
        <w:t>ssl=on</w:t>
      </w:r>
      <w:r>
        <w:t>).</w:t>
      </w:r>
    </w:p>
    <w:p>
      <w:pPr>
        <w:pStyle w:val="ListBullet"/>
      </w:pPr>
      <w:r>
        <w:rPr>
          <w:b/>
        </w:rPr>
        <w:t>At rest:</w:t>
      </w:r>
      <w:r>
        <w:t xml:space="preserve"> </w:t>
      </w:r>
      <w:r>
        <w:rPr>
          <w:rFonts w:ascii="Consolas" w:hAnsi="Consolas"/>
          <w:color w:val="A8432A"/>
          <w:sz w:val="19"/>
        </w:rPr>
        <w:t>pgcrypto</w:t>
      </w:r>
      <w:r>
        <w:t xml:space="preserve"> enabled for column-level encryption; bulk at-rest protection is delegated to encrypted storage volumes at the deployment layer.</w:t>
      </w:r>
    </w:p>
    <w:p>
      <w:r>
        <w:rPr>
          <w:b/>
        </w:rPr>
        <w:t>8. Fail-safe defaults &amp; hardening</w:t>
      </w:r>
    </w:p>
    <w:p>
      <w:pPr>
        <w:pStyle w:val="ListBullet"/>
      </w:pPr>
      <w:r>
        <w:t xml:space="preserve">Unset </w:t>
      </w:r>
      <w:r>
        <w:rPr>
          <w:rFonts w:ascii="Consolas" w:hAnsi="Consolas"/>
          <w:color w:val="A8432A"/>
          <w:sz w:val="19"/>
        </w:rPr>
        <w:t>NODE_ENV</w:t>
      </w:r>
      <w:r>
        <w:t xml:space="preserve"> defaults to </w:t>
      </w:r>
      <w:r>
        <w:rPr>
          <w:b/>
        </w:rPr>
        <w:t>production</w:t>
      </w:r>
      <w:r>
        <w:t xml:space="preserve"> (strictest mode). The dev-only </w:t>
      </w:r>
      <w:r>
        <w:rPr>
          <w:rFonts w:ascii="Consolas" w:hAnsi="Consolas"/>
          <w:color w:val="A8432A"/>
          <w:sz w:val="19"/>
        </w:rPr>
        <w:t>x-org-id</w:t>
      </w:r>
      <w:r>
        <w:t xml:space="preserve"> / </w:t>
      </w:r>
      <w:r>
        <w:rPr>
          <w:rFonts w:ascii="Consolas" w:hAnsi="Consolas"/>
          <w:color w:val="A8432A"/>
          <w:sz w:val="19"/>
        </w:rPr>
        <w:t>x-role</w:t>
      </w:r>
      <w:r>
        <w:t xml:space="preserve"> header seam is gated off outside non-production.</w:t>
      </w:r>
    </w:p>
    <w:p>
      <w:pPr>
        <w:pStyle w:val="ListBullet"/>
      </w:pPr>
      <w:r>
        <w:t xml:space="preserve">Environment config is schema-validated and </w:t>
      </w:r>
      <w:r>
        <w:rPr>
          <w:b/>
        </w:rPr>
        <w:t>fails closed</w:t>
      </w:r>
      <w:r>
        <w:t xml:space="preserve"> at boot on any missing/invalid value.</w:t>
      </w:r>
    </w:p>
    <w:p>
      <w:pPr>
        <w:pStyle w:val="ListBullet"/>
      </w:pPr>
      <w:r>
        <w:t>The global exception filter emits a consistent envelope and never leaks stack traces — internal errors return a generic 500.</w:t>
      </w:r>
    </w:p>
    <w:p>
      <w:pPr>
        <w:pStyle w:val="Heading2"/>
      </w:pPr>
      <w:r>
        <w:rPr>
          <w:color w:val="0E6B5D"/>
        </w:rPr>
        <w:t>Honest assessment</w:t>
      </w:r>
    </w:p>
    <w:p>
      <w:r>
        <w:rPr>
          <w:b/>
        </w:rPr>
        <w:t>Strengths</w:t>
      </w:r>
    </w:p>
    <w:p>
      <w:pPr>
        <w:pStyle w:val="ListBullet"/>
      </w:pPr>
      <w:r>
        <w:rPr>
          <w:b/>
        </w:rPr>
        <w:t>Isolation is structural.</w:t>
      </w:r>
      <w:r>
        <w:t xml:space="preserve"> RLS at the DB means an app-layer bug cannot cross tenants — the strongest form of multi-tenant isolation.</w:t>
      </w:r>
    </w:p>
    <w:p>
      <w:pPr>
        <w:pStyle w:val="ListBullet"/>
      </w:pPr>
      <w:r>
        <w:rPr>
          <w:b/>
        </w:rPr>
        <w:t>No cross-tenant write path exists</w:t>
      </w:r>
      <w:r>
        <w:t xml:space="preserve"> at all; cross-org access is read-only by role and by DB grant.</w:t>
      </w:r>
    </w:p>
    <w:p>
      <w:pPr>
        <w:pStyle w:val="ListBullet"/>
      </w:pPr>
      <w:r>
        <w:rPr>
          <w:b/>
        </w:rPr>
        <w:t>Append-only audit</w:t>
      </w:r>
      <w:r>
        <w:t xml:space="preserve"> is enforced by database privileges, not just convention.</w:t>
      </w:r>
    </w:p>
    <w:p>
      <w:pPr>
        <w:pStyle w:val="ListBullet"/>
      </w:pPr>
      <w:r>
        <w:rPr>
          <w:b/>
        </w:rPr>
        <w:t>Single-source RBAC</w:t>
      </w:r>
      <w:r>
        <w:t xml:space="preserve"> with an explicit escalation guard closes the most common authorization gaps.</w:t>
      </w:r>
    </w:p>
    <w:p>
      <w:pPr>
        <w:pStyle w:val="ListBullet"/>
      </w:pPr>
      <w:r>
        <w:rPr>
          <w:b/>
        </w:rPr>
        <w:t>Login hardening</w:t>
      </w:r>
      <w:r>
        <w:t xml:space="preserve"> — argon2id, lockout, timing-safe — is above baseline for an MVP.</w:t>
      </w:r>
    </w:p>
    <w:p>
      <w:pPr>
        <w:pStyle w:val="ListBullet"/>
      </w:pPr>
      <w:r>
        <w:rPr>
          <w:b/>
        </w:rPr>
        <w:t>Verified:</w:t>
      </w:r>
      <w:r>
        <w:t xml:space="preserve"> 82 tests against a real Postgres assert the fail-closed and cross-org-403 behaviours, not just happy paths — including a dedicated cross-tenant RLS gate (</w:t>
      </w:r>
      <w:r>
        <w:rPr>
          <w:rFonts w:ascii="Consolas" w:hAnsi="Consolas"/>
          <w:color w:val="A8432A"/>
          <w:sz w:val="19"/>
        </w:rPr>
        <w:t>test/tenant-isolation.e2e.spec.ts</w:t>
      </w:r>
      <w:r>
        <w:t xml:space="preserve">) that proves an Org-A caller cannot see Org-B rows on the live </w:t>
      </w:r>
      <w:r>
        <w:rPr>
          <w:rFonts w:ascii="Consolas" w:hAnsi="Consolas"/>
          <w:color w:val="A8432A"/>
          <w:sz w:val="19"/>
        </w:rPr>
        <w:t>users</w:t>
      </w:r>
      <w:r>
        <w:t xml:space="preserve"> table.</w:t>
      </w:r>
    </w:p>
    <w:p>
      <w:pPr>
        <w:pStyle w:val="ListBullet"/>
      </w:pPr>
      <w:r>
        <w:rPr>
          <w:b/>
        </w:rPr>
        <w:t>Reviewed:</w:t>
      </w:r>
      <w:r>
        <w:t xml:space="preserve"> a post-merge code-review pass (</w:t>
      </w:r>
      <w:r>
        <w:rPr>
          <w:rFonts w:ascii="Consolas" w:hAnsi="Consolas"/>
          <w:color w:val="A8432A"/>
          <w:sz w:val="19"/>
        </w:rPr>
        <w:t>3eedad9</w:t>
      </w:r>
      <w:r>
        <w:t xml:space="preserve">) reinstated TypeBox input validation on write endpoints (bad </w:t>
      </w:r>
      <w:r>
        <w:rPr>
          <w:rFonts w:ascii="Consolas" w:hAnsi="Consolas"/>
          <w:color w:val="A8432A"/>
          <w:sz w:val="19"/>
        </w:rPr>
        <w:t>limit</w:t>
      </w:r>
      <w:r>
        <w:t>/</w:t>
      </w:r>
      <w:r>
        <w:rPr>
          <w:rFonts w:ascii="Consolas" w:hAnsi="Consolas"/>
          <w:color w:val="A8432A"/>
          <w:sz w:val="19"/>
        </w:rPr>
        <w:t>offset</w:t>
      </w:r>
      <w:r>
        <w:t xml:space="preserve"> can't reach Prisma as </w:t>
      </w:r>
      <w:r>
        <w:rPr>
          <w:rFonts w:ascii="Consolas" w:hAnsi="Consolas"/>
          <w:color w:val="A8432A"/>
          <w:sz w:val="19"/>
        </w:rPr>
        <w:t>NaN</w:t>
      </w:r>
      <w:r>
        <w:t>), made the DB connection able to *authenticate* the Postgres cert (</w:t>
      </w:r>
      <w:r>
        <w:rPr>
          <w:rFonts w:ascii="Consolas" w:hAnsi="Consolas"/>
          <w:color w:val="A8432A"/>
          <w:sz w:val="19"/>
        </w:rPr>
        <w:t>DB_SSL_REJECT_UNAUTHORIZED</w:t>
      </w:r>
      <w:r>
        <w:t xml:space="preserve"> + </w:t>
      </w:r>
      <w:r>
        <w:rPr>
          <w:rFonts w:ascii="Consolas" w:hAnsi="Consolas"/>
          <w:color w:val="A8432A"/>
          <w:sz w:val="19"/>
        </w:rPr>
        <w:t>DB_SSL_CA</w:t>
      </w:r>
      <w:r>
        <w:t>), attributed cross-org admin actions to the affected org in the audit trail, and mapped duplicate-email to a clean 409.</w:t>
      </w:r>
    </w:p>
    <w:p>
      <w:r>
        <w:rPr>
          <w:b/>
        </w:rPr>
        <w:t>Gaps &amp; production to-dos</w:t>
      </w:r>
    </w:p>
    <w:p>
      <w:pPr>
        <w:pStyle w:val="ListBullet"/>
      </w:pPr>
      <w:r>
        <w:rPr>
          <w:b/>
        </w:rPr>
        <w:t>Certificates are self-signed (dev).</w:t>
      </w:r>
      <w:r>
        <w:t xml:space="preserve"> Replace with CA-signed certs; set </w:t>
      </w:r>
      <w:r>
        <w:rPr>
          <w:rFonts w:ascii="Consolas" w:hAnsi="Consolas"/>
          <w:color w:val="A8432A"/>
          <w:sz w:val="19"/>
        </w:rPr>
        <w:t>DB_SSL_REJECT_UNAUTHORIZED=true</w:t>
      </w:r>
      <w:r>
        <w:t xml:space="preserve"> so the DB is authenticated, not just encrypted.</w:t>
      </w:r>
    </w:p>
    <w:p>
      <w:pPr>
        <w:pStyle w:val="ListBullet"/>
      </w:pPr>
      <w:r>
        <w:rPr>
          <w:b/>
        </w:rPr>
        <w:t>Secrets are placeholders.</w:t>
      </w:r>
      <w:r>
        <w:t xml:space="preserve"> The JWT secret and the three DB-role passwords ship as dev defaults — rotate per environment before any real deployment.</w:t>
      </w:r>
    </w:p>
    <w:p>
      <w:pPr>
        <w:pStyle w:val="ListBullet"/>
      </w:pPr>
      <w:r>
        <w:rPr>
          <w:b/>
        </w:rPr>
        <w:t>No OTP / 2FA or password reset</w:t>
      </w:r>
      <w:r>
        <w:t xml:space="preserve"> yet (needs a mail/SMS provider).</w:t>
      </w:r>
    </w:p>
    <w:p>
      <w:pPr>
        <w:pStyle w:val="ListBullet"/>
      </w:pPr>
      <w:r>
        <w:rPr>
          <w:b/>
        </w:rPr>
        <w:t>No token revocation.</w:t>
      </w:r>
      <w:r>
        <w:t xml:space="preserve"> Stateless JWT means logout is a client-side drop; a leaked token is valid until expiry.</w:t>
      </w:r>
    </w:p>
    <w:p>
      <w:pPr>
        <w:pStyle w:val="ListBullet"/>
      </w:pPr>
      <w:r>
        <w:rPr>
          <w:b/>
        </w:rPr>
        <w:t>Rate limiting is per-account only</w:t>
      </w:r>
      <w:r>
        <w:t xml:space="preserve"> (lockout) — no global/IP throttle in front of login.</w:t>
      </w:r>
    </w:p>
    <w:p>
      <w:pPr>
        <w:pStyle w:val="ListBullet"/>
      </w:pPr>
      <w:r>
        <w:rPr>
          <w:b/>
        </w:rPr>
        <w:t>Bulk at-rest encryption</w:t>
      </w:r>
      <w:r>
        <w:t xml:space="preserve"> is a deployment responsibility (encrypted volumes) and is not yet configured. No load or penetration testing performed.</w:t>
      </w:r>
    </w:p>
    <w:p>
      <w:pPr>
        <w:ind w:left="216"/>
        <w:pBdr>
          <w:left w:val="single" w:sz="18" w:space="8" w:color="0E6B5D"/>
        </w:pBdr>
        <w:shd w:val="clear" w:fill="EAF2F0"/>
      </w:pPr>
      <w:r>
        <w:rPr>
          <w:b/>
          <w:i/>
          <w:color w:val="55635F"/>
        </w:rPr>
        <w:t>Bottom line:</w:t>
      </w:r>
      <w:r>
        <w:rPr>
          <w:i/>
          <w:color w:val="55635F"/>
        </w:rPr>
        <w:t xml:space="preserve"> the security *architecture* is strong and DB-enforced, and the implemented surface is well-hardened and tested. What stands between it and production-grade is *operational* — real certificates, rotated secrets, a second auth factor, and encrypted storage — not a redesign.</w:t>
      </w:r>
    </w:p>
    <w:p>
      <w:pPr>
        <w:pBdr>
          <w:bottom w:val="single" w:sz="6" w:space="1" w:color="C9D2CF"/>
        </w:pBdr>
      </w:pPr>
    </w:p>
    <w:p>
      <w:pPr>
        <w:pStyle w:val="Heading1"/>
      </w:pPr>
      <w:r>
        <w:rPr>
          <w:color w:val="0E6B5D"/>
        </w:rPr>
        <w:t>5. Data schema</w:t>
      </w:r>
    </w:p>
    <w:p>
      <w:r>
        <w:t xml:space="preserve">Seven tables across three concerns — global </w:t>
      </w:r>
      <w:r>
        <w:rPr>
          <w:b/>
        </w:rPr>
        <w:t>reference</w:t>
      </w:r>
      <w:r>
        <w:t xml:space="preserve"> data (seeded, read-only), </w:t>
      </w:r>
      <w:r>
        <w:rPr>
          <w:b/>
        </w:rPr>
        <w:t>tenancy &amp; identity</w:t>
      </w:r>
      <w:r>
        <w:t xml:space="preserve">, and the </w:t>
      </w:r>
      <w:r>
        <w:rPr>
          <w:b/>
        </w:rPr>
        <w:t>audit</w:t>
      </w:r>
      <w:r>
        <w:t xml:space="preserve"> trail — plus three enums. Tenant primary keys are UUIDv7 (</w:t>
      </w:r>
      <w:r>
        <w:rPr>
          <w:rFonts w:ascii="Consolas" w:hAnsi="Consolas"/>
          <w:color w:val="A8432A"/>
          <w:sz w:val="19"/>
        </w:rPr>
        <w:t>uuidv7()</w:t>
      </w:r>
      <w:r>
        <w:t xml:space="preserve">); </w:t>
      </w:r>
      <w:r>
        <w:rPr>
          <w:rFonts w:ascii="Consolas" w:hAnsi="Consolas"/>
          <w:color w:val="A8432A"/>
          <w:sz w:val="19"/>
        </w:rPr>
        <w:t>roles.id</w:t>
      </w:r>
      <w:r>
        <w:t xml:space="preserve"> are stable </w:t>
      </w:r>
      <w:r>
        <w:rPr>
          <w:rFonts w:ascii="Consolas" w:hAnsi="Consolas"/>
          <w:color w:val="A8432A"/>
          <w:sz w:val="19"/>
        </w:rPr>
        <w:t>role_&lt;key&gt;</w:t>
      </w:r>
      <w:r>
        <w:t xml:space="preserve"> strings matching the frontend.</w:t>
      </w:r>
    </w:p>
    <w:p>
      <w:pPr>
        <w:pStyle w:val="Heading2"/>
      </w:pPr>
      <w:r>
        <w:rPr>
          <w:color w:val="0E6B5D"/>
        </w:rPr>
        <w:t>Enums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Enum</w:t>
            </w:r>
          </w:p>
        </w:tc>
        <w:tc>
          <w:tcPr>
            <w:tcW w:type="dxa" w:w="504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Values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Sector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education · healthcare · agriculture · wash · livelihoods · disaster_relief · other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UserStatus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active · invited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PermissionModule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entityTeam · rolesPermissions · onboardingConsent · methodologyQuestionBank · studySurvey · dataCollection · dataImport · citizenChannel · aiReview · priorityScoring · reportsDashboards · archiveSharingAudit</w:t>
            </w:r>
          </w:p>
        </w:tc>
      </w:tr>
    </w:tbl>
    <w:p/>
    <w:p>
      <w:r>
        <w:t xml:space="preserve">Key legend: </w:t>
      </w:r>
      <w:r>
        <w:rPr>
          <w:b/>
        </w:rPr>
        <w:t>PK</w:t>
      </w:r>
      <w:r>
        <w:t xml:space="preserve"> primary · </w:t>
      </w:r>
      <w:r>
        <w:rPr>
          <w:b/>
        </w:rPr>
        <w:t>FK</w:t>
      </w:r>
      <w:r>
        <w:t xml:space="preserve"> foreign · </w:t>
      </w:r>
      <w:r>
        <w:rPr>
          <w:b/>
        </w:rPr>
        <w:t>UQ</w:t>
      </w:r>
      <w:r>
        <w:t xml:space="preserve"> unique · </w:t>
      </w:r>
      <w:r>
        <w:rPr>
          <w:b/>
        </w:rPr>
        <w:t>IX</w:t>
      </w:r>
      <w:r>
        <w:t xml:space="preserve"> indexed · </w:t>
      </w:r>
      <w:r>
        <w:rPr>
          <w:rFonts w:ascii="Consolas" w:hAnsi="Consolas"/>
          <w:color w:val="A8432A"/>
          <w:sz w:val="19"/>
        </w:rPr>
        <w:t>?</w:t>
      </w:r>
      <w:r>
        <w:t xml:space="preserve"> nullable.</w:t>
      </w:r>
    </w:p>
    <w:p>
      <w:pPr>
        <w:pStyle w:val="Heading2"/>
      </w:pPr>
      <w:r>
        <w:rPr>
          <w:rFonts w:ascii="Consolas" w:hAnsi="Consolas"/>
          <w:color w:val="A8432A"/>
          <w:sz w:val="19"/>
        </w:rPr>
        <w:t>roles</w:t>
      </w:r>
      <w:r>
        <w:rPr>
          <w:color w:val="0E6B5D"/>
        </w:rPr>
        <w:t xml:space="preserve"> — reference · no RLS · app SELECT-only</w:t>
      </w:r>
    </w:p>
    <w:p>
      <w:r>
        <w:t xml:space="preserve">The nine platform roles. Seeded from </w:t>
      </w:r>
      <w:r>
        <w:rPr>
          <w:rFonts w:ascii="Consolas" w:hAnsi="Consolas"/>
          <w:color w:val="A8432A"/>
          <w:sz w:val="19"/>
        </w:rPr>
        <w:t>ROLE_MATRIX</w:t>
      </w:r>
      <w:r>
        <w:t xml:space="preserve">; exposed read-only via </w:t>
      </w:r>
      <w:r>
        <w:rPr>
          <w:rFonts w:ascii="Consolas" w:hAnsi="Consolas"/>
          <w:color w:val="A8432A"/>
          <w:sz w:val="19"/>
        </w:rPr>
        <w:t>GET /api/roles</w:t>
      </w:r>
      <w:r>
        <w:t>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PK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varchar(64)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Stable </w:t>
            </w:r>
            <w:r>
              <w:rPr>
                <w:rFonts w:ascii="Consolas" w:hAnsi="Consolas"/>
                <w:color w:val="A8432A"/>
                <w:sz w:val="19"/>
              </w:rPr>
              <w:t>role_&lt;key&gt;</w:t>
            </w:r>
            <w:r>
              <w:rPr>
                <w:sz w:val="19"/>
              </w:rPr>
              <w:t xml:space="preserve"> id (matches FE)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UQ</w:t>
            </w:r>
            <w:r>
              <w:rPr>
                <w:sz w:val="19"/>
              </w:rPr>
              <w:t xml:space="preserve"> key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varchar(64)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Machine key, e.g. </w:t>
            </w:r>
            <w:r>
              <w:rPr>
                <w:rFonts w:ascii="Consolas" w:hAnsi="Consolas"/>
                <w:color w:val="A8432A"/>
                <w:sz w:val="19"/>
              </w:rPr>
              <w:t>ngo_admin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name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varchar(120)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Display name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description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text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Human 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cross_entity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boolean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Grants cross-organisation read scope</w:t>
            </w:r>
          </w:p>
        </w:tc>
      </w:tr>
    </w:tbl>
    <w:p/>
    <w:p>
      <w:pPr>
        <w:pStyle w:val="Heading2"/>
      </w:pPr>
      <w:r>
        <w:rPr>
          <w:rFonts w:ascii="Consolas" w:hAnsi="Consolas"/>
          <w:color w:val="A8432A"/>
          <w:sz w:val="19"/>
        </w:rPr>
        <w:t>role_permissions</w:t>
      </w:r>
      <w:r>
        <w:rPr>
          <w:color w:val="0E6B5D"/>
        </w:rPr>
        <w:t xml:space="preserve"> — reference</w:t>
      </w:r>
    </w:p>
    <w:p>
      <w:r>
        <w:t xml:space="preserve">One row per (role, module) with six boolean action flags. Unique on </w:t>
      </w:r>
      <w:r>
        <w:rPr>
          <w:rFonts w:ascii="Consolas" w:hAnsi="Consolas"/>
          <w:color w:val="A8432A"/>
          <w:sz w:val="19"/>
        </w:rPr>
        <w:t>(role_id, module)</w:t>
      </w:r>
      <w:r>
        <w:t>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PK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uuid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uuidv7()</w:t>
            </w:r>
            <w:r>
              <w:rPr>
                <w:sz w:val="19"/>
              </w:rPr>
              <w:t xml:space="preserve"> default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FK UQ</w:t>
            </w:r>
            <w:r>
              <w:rPr>
                <w:sz w:val="19"/>
              </w:rPr>
              <w:t xml:space="preserve"> role_id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varchar(64)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→ </w:t>
            </w:r>
            <w:r>
              <w:rPr>
                <w:rFonts w:ascii="Consolas" w:hAnsi="Consolas"/>
                <w:color w:val="A8432A"/>
                <w:sz w:val="19"/>
              </w:rPr>
              <w:t>roles.id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UQ</w:t>
            </w:r>
            <w:r>
              <w:rPr>
                <w:sz w:val="19"/>
              </w:rPr>
              <w:t xml:space="preserve"> module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PermissionModule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One of the 12 modules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read / write / create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boolean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Action grants (default false)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approve / export / share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boolean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Action grants (default false)</w:t>
            </w:r>
          </w:p>
        </w:tc>
      </w:tr>
    </w:tbl>
    <w:p/>
    <w:p>
      <w:pPr>
        <w:pStyle w:val="Heading2"/>
      </w:pPr>
      <w:r>
        <w:rPr>
          <w:rFonts w:ascii="Consolas" w:hAnsi="Consolas"/>
          <w:color w:val="A8432A"/>
          <w:sz w:val="19"/>
        </w:rPr>
        <w:t>consent_policies</w:t>
      </w:r>
      <w:r>
        <w:rPr>
          <w:color w:val="0E6B5D"/>
        </w:rPr>
        <w:t xml:space="preserve"> — reference</w:t>
      </w:r>
    </w:p>
    <w:p>
      <w:r>
        <w:t xml:space="preserve">Versioned, append-only consent policy text. Seeded with </w:t>
      </w:r>
      <w:r>
        <w:rPr>
          <w:rFonts w:ascii="Consolas" w:hAnsi="Consolas"/>
          <w:color w:val="A8432A"/>
          <w:sz w:val="19"/>
        </w:rPr>
        <w:t>v1</w:t>
      </w:r>
      <w:r>
        <w:t>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PK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uuid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uuidv7()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UQ</w:t>
            </w:r>
            <w:r>
              <w:rPr>
                <w:sz w:val="19"/>
              </w:rPr>
              <w:t xml:space="preserve"> version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varchar(64)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e.g. </w:t>
            </w:r>
            <w:r>
              <w:rPr>
                <w:rFonts w:ascii="Consolas" w:hAnsi="Consolas"/>
                <w:color w:val="A8432A"/>
                <w:sz w:val="19"/>
              </w:rPr>
              <w:t>v1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text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text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Full policy copy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active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boolean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Currently-effective version (default false)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created_at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timestamptz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default now()</w:t>
            </w:r>
          </w:p>
        </w:tc>
      </w:tr>
    </w:tbl>
    <w:p/>
    <w:p>
      <w:pPr>
        <w:pStyle w:val="Heading2"/>
      </w:pPr>
      <w:r>
        <w:rPr>
          <w:rFonts w:ascii="Consolas" w:hAnsi="Consolas"/>
          <w:color w:val="A8432A"/>
          <w:sz w:val="19"/>
        </w:rPr>
        <w:t>organisations</w:t>
      </w:r>
      <w:r>
        <w:rPr>
          <w:color w:val="0E6B5D"/>
        </w:rPr>
        <w:t xml:space="preserve"> — tenant-root · RLS keyed on </w:t>
      </w:r>
      <w:r>
        <w:rPr>
          <w:rFonts w:ascii="Consolas" w:hAnsi="Consolas"/>
          <w:color w:val="A8432A"/>
          <w:sz w:val="19"/>
        </w:rPr>
        <w:t>id</w:t>
      </w:r>
    </w:p>
    <w:p>
      <w:r>
        <w:t xml:space="preserve">The tenant boundary. RLS restricts each org to its own row (keyed on </w:t>
      </w:r>
      <w:r>
        <w:rPr>
          <w:rFonts w:ascii="Consolas" w:hAnsi="Consolas"/>
          <w:color w:val="A8432A"/>
          <w:sz w:val="19"/>
        </w:rPr>
        <w:t>id</w:t>
      </w:r>
      <w:r>
        <w:t>), which also enables the org-creation bootstrap.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PK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uuid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uuidv7()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name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varchar(200)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Organisation name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region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varchar(200)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Nullable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email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varchar(320)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Nullable contact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sector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Sector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Nullable enum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logo_url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text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Nullable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villages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text[]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Default empty array (scale without schema change)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is_active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boolean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Default true; false blocks login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created_at / updated_at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timestamptz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Managed timestamps</w:t>
            </w:r>
          </w:p>
        </w:tc>
      </w:tr>
    </w:tbl>
    <w:p/>
    <w:p>
      <w:pPr>
        <w:pStyle w:val="Heading2"/>
      </w:pPr>
      <w:r>
        <w:rPr>
          <w:rFonts w:ascii="Consolas" w:hAnsi="Consolas"/>
          <w:color w:val="A8432A"/>
          <w:sz w:val="19"/>
        </w:rPr>
        <w:t>users</w:t>
      </w:r>
      <w:r>
        <w:rPr>
          <w:color w:val="0E6B5D"/>
        </w:rPr>
        <w:t xml:space="preserve"> — RLS on </w:t>
      </w:r>
      <w:r>
        <w:rPr>
          <w:rFonts w:ascii="Consolas" w:hAnsi="Consolas"/>
          <w:color w:val="A8432A"/>
          <w:sz w:val="19"/>
        </w:rPr>
        <w:t>org_id</w:t>
      </w:r>
    </w:p>
    <w:p>
      <w:r>
        <w:t xml:space="preserve">Members of an organisation. Email is globally unique. Login state (attempts, lockout, last login) lives here. Indexed on </w:t>
      </w:r>
      <w:r>
        <w:rPr>
          <w:rFonts w:ascii="Consolas" w:hAnsi="Consolas"/>
          <w:color w:val="A8432A"/>
          <w:sz w:val="19"/>
        </w:rPr>
        <w:t>org_id</w:t>
      </w:r>
      <w:r>
        <w:t xml:space="preserve"> and </w:t>
      </w:r>
      <w:r>
        <w:rPr>
          <w:rFonts w:ascii="Consolas" w:hAnsi="Consolas"/>
          <w:color w:val="A8432A"/>
          <w:sz w:val="19"/>
        </w:rPr>
        <w:t>role_id</w:t>
      </w:r>
      <w:r>
        <w:t>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PK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uuid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uuidv7()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FK IX</w:t>
            </w:r>
            <w:r>
              <w:rPr>
                <w:sz w:val="19"/>
              </w:rPr>
              <w:t xml:space="preserve"> org_id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uuid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→ </w:t>
            </w:r>
            <w:r>
              <w:rPr>
                <w:rFonts w:ascii="Consolas" w:hAnsi="Consolas"/>
                <w:color w:val="A8432A"/>
                <w:sz w:val="19"/>
              </w:rPr>
              <w:t>organisations.id</w:t>
            </w:r>
            <w:r>
              <w:rPr>
                <w:sz w:val="19"/>
              </w:rPr>
              <w:t xml:space="preserve"> (cascade delete)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FK IX</w:t>
            </w:r>
            <w:r>
              <w:rPr>
                <w:sz w:val="19"/>
              </w:rPr>
              <w:t xml:space="preserve"> role_id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varchar(64)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→ </w:t>
            </w:r>
            <w:r>
              <w:rPr>
                <w:rFonts w:ascii="Consolas" w:hAnsi="Consolas"/>
                <w:color w:val="A8432A"/>
                <w:sz w:val="19"/>
              </w:rPr>
              <w:t>roles.id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name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varchar(200)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UQ</w:t>
            </w:r>
            <w:r>
              <w:rPr>
                <w:sz w:val="19"/>
              </w:rPr>
              <w:t xml:space="preserve"> email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varchar(320)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Globally unique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status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UserStatus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Default </w:t>
            </w:r>
            <w:r>
              <w:rPr>
                <w:rFonts w:ascii="Consolas" w:hAnsi="Consolas"/>
                <w:color w:val="A8432A"/>
                <w:sz w:val="19"/>
              </w:rPr>
              <w:t>invited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password_hash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varchar(255)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argon2id; null until credential set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consented_at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timestamptz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Last consent acceptance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failed_login_attempts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int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Default 0; drives lockout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locked_until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timestamptz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Lockout expiry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last_login_at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timestamptz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created_at / updated_at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timestamptz</w:t>
            </w:r>
          </w:p>
        </w:tc>
        <w:tc>
          <w:tcPr>
            <w:tcW w:type="dxa" w:w="3360"/>
          </w:tcPr>
          <w:p>
            <w:r/>
          </w:p>
        </w:tc>
      </w:tr>
    </w:tbl>
    <w:p/>
    <w:p>
      <w:pPr>
        <w:pStyle w:val="Heading2"/>
      </w:pPr>
      <w:r>
        <w:rPr>
          <w:rFonts w:ascii="Consolas" w:hAnsi="Consolas"/>
          <w:color w:val="A8432A"/>
          <w:sz w:val="19"/>
        </w:rPr>
        <w:t>consent_acceptances</w:t>
      </w:r>
      <w:r>
        <w:rPr>
          <w:color w:val="0E6B5D"/>
        </w:rPr>
        <w:t xml:space="preserve"> — RLS on </w:t>
      </w:r>
      <w:r>
        <w:rPr>
          <w:rFonts w:ascii="Consolas" w:hAnsi="Consolas"/>
          <w:color w:val="A8432A"/>
          <w:sz w:val="19"/>
        </w:rPr>
        <w:t>org_id</w:t>
      </w:r>
    </w:p>
    <w:p>
      <w:r>
        <w:t xml:space="preserve">Immutable record of each consent a user accepted — snapshots the version </w:t>
      </w:r>
      <w:r>
        <w:rPr>
          <w:b/>
        </w:rPr>
        <w:t>and</w:t>
      </w:r>
      <w:r>
        <w:t xml:space="preserve"> the exact policy text at accept-time. Indexed on </w:t>
      </w:r>
      <w:r>
        <w:rPr>
          <w:rFonts w:ascii="Consolas" w:hAnsi="Consolas"/>
          <w:color w:val="A8432A"/>
          <w:sz w:val="19"/>
        </w:rPr>
        <w:t>org_id</w:t>
      </w:r>
      <w:r>
        <w:t>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PK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uuid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uuidv7()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FK</w:t>
            </w:r>
            <w:r>
              <w:rPr>
                <w:sz w:val="19"/>
              </w:rPr>
              <w:t xml:space="preserve"> org_id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uuid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→ </w:t>
            </w:r>
            <w:r>
              <w:rPr>
                <w:rFonts w:ascii="Consolas" w:hAnsi="Consolas"/>
                <w:color w:val="A8432A"/>
                <w:sz w:val="19"/>
              </w:rPr>
              <w:t>organisations.id</w:t>
            </w:r>
            <w:r>
              <w:rPr>
                <w:sz w:val="19"/>
              </w:rPr>
              <w:t xml:space="preserve"> (cascade)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FK</w:t>
            </w:r>
            <w:r>
              <w:rPr>
                <w:sz w:val="19"/>
              </w:rPr>
              <w:t xml:space="preserve"> user_id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uuid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→ </w:t>
            </w:r>
            <w:r>
              <w:rPr>
                <w:rFonts w:ascii="Consolas" w:hAnsi="Consolas"/>
                <w:color w:val="A8432A"/>
                <w:sz w:val="19"/>
              </w:rPr>
              <w:t>users.id</w:t>
            </w:r>
            <w:r>
              <w:rPr>
                <w:sz w:val="19"/>
              </w:rPr>
              <w:t xml:space="preserve"> (cascade)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policy_version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varchar(64)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Snapshot of accepted version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policy_text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text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Snapshot of exact text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accepted_at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timestamptz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default now()</w:t>
            </w:r>
          </w:p>
        </w:tc>
      </w:tr>
    </w:tbl>
    <w:p/>
    <w:p>
      <w:pPr>
        <w:pStyle w:val="Heading2"/>
      </w:pPr>
      <w:r>
        <w:rPr>
          <w:rFonts w:ascii="Consolas" w:hAnsi="Consolas"/>
          <w:color w:val="A8432A"/>
          <w:sz w:val="19"/>
        </w:rPr>
        <w:t>audit_logs</w:t>
      </w:r>
      <w:r>
        <w:rPr>
          <w:color w:val="0E6B5D"/>
        </w:rPr>
        <w:t xml:space="preserve"> — RLS on </w:t>
      </w:r>
      <w:r>
        <w:rPr>
          <w:rFonts w:ascii="Consolas" w:hAnsi="Consolas"/>
          <w:color w:val="A8432A"/>
          <w:sz w:val="19"/>
        </w:rPr>
        <w:t>organisation_id</w:t>
      </w:r>
      <w:r>
        <w:rPr>
          <w:color w:val="0E6B5D"/>
        </w:rPr>
        <w:t xml:space="preserve"> · append-only</w:t>
      </w:r>
    </w:p>
    <w:p>
      <w:r>
        <w:t xml:space="preserve">Immutable event trail. </w:t>
      </w:r>
      <w:r>
        <w:rPr>
          <w:rFonts w:ascii="Consolas" w:hAnsi="Consolas"/>
          <w:color w:val="A8432A"/>
          <w:sz w:val="19"/>
        </w:rPr>
        <w:t>cnap_app</w:t>
      </w:r>
      <w:r>
        <w:t xml:space="preserve"> holds SELECT + INSERT only. Nullable org id allows system-level events. Indexed on </w:t>
      </w:r>
      <w:r>
        <w:rPr>
          <w:rFonts w:ascii="Consolas" w:hAnsi="Consolas"/>
          <w:color w:val="A8432A"/>
          <w:sz w:val="19"/>
        </w:rPr>
        <w:t>organisation_id</w:t>
      </w:r>
      <w:r>
        <w:t xml:space="preserve"> and </w:t>
      </w:r>
      <w:r>
        <w:rPr>
          <w:rFonts w:ascii="Consolas" w:hAnsi="Consolas"/>
          <w:color w:val="A8432A"/>
          <w:sz w:val="19"/>
        </w:rPr>
        <w:t>(entity_type, entity_id)</w:t>
      </w:r>
      <w:r>
        <w:t>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PK</w:t>
            </w:r>
            <w:r>
              <w:rPr>
                <w:sz w:val="19"/>
              </w:rPr>
              <w:t xml:space="preserve"> id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uuid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uuidv7()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FK IX</w:t>
            </w:r>
            <w:r>
              <w:rPr>
                <w:sz w:val="19"/>
              </w:rPr>
              <w:t xml:space="preserve"> organisation_id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uuid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→ </w:t>
            </w:r>
            <w:r>
              <w:rPr>
                <w:rFonts w:ascii="Consolas" w:hAnsi="Consolas"/>
                <w:color w:val="A8432A"/>
                <w:sz w:val="19"/>
              </w:rPr>
              <w:t>organisations.id</w:t>
            </w:r>
            <w:r>
              <w:rPr>
                <w:sz w:val="19"/>
              </w:rPr>
              <w:t xml:space="preserve"> (SET NULL)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actor_user_id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uuid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Who did it (from OrgStore)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action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varchar(64)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create · edit · login · logout · …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IX</w:t>
            </w:r>
            <w:r>
              <w:rPr>
                <w:sz w:val="19"/>
              </w:rPr>
              <w:t xml:space="preserve"> entity_type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varchar(64)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e.g. user, organization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IX</w:t>
            </w:r>
            <w:r>
              <w:rPr>
                <w:sz w:val="19"/>
              </w:rPr>
              <w:t xml:space="preserve"> entity_id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uuid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Target entity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entity_label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text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Human label at event time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metadata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jsonb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Holds </w:t>
            </w:r>
            <w:r>
              <w:rPr>
                <w:rFonts w:ascii="Consolas" w:hAnsi="Consolas"/>
                <w:color w:val="A8432A"/>
                <w:sz w:val="19"/>
              </w:rPr>
              <w:t>changes[]</w:t>
            </w:r>
            <w:r>
              <w:rPr>
                <w:sz w:val="19"/>
              </w:rPr>
              <w:t xml:space="preserve"> before/after diffs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ip_address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varchar(64)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Captured from request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user_agent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 xml:space="preserve">text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Captured from request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created_at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timestamptz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default now()</w:t>
            </w:r>
          </w:p>
        </w:tc>
      </w:tr>
    </w:tbl>
    <w:p/>
    <w:p>
      <w:pPr>
        <w:pStyle w:val="Heading2"/>
      </w:pPr>
      <w:r>
        <w:rPr>
          <w:color w:val="0E6B5D"/>
        </w:rPr>
        <w:t>RLS &amp; grants summary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Table</w:t>
            </w:r>
          </w:p>
        </w:tc>
        <w:tc>
          <w:tcPr>
            <w:tcW w:type="dxa" w:w="252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RLS policy</w:t>
            </w:r>
          </w:p>
        </w:tc>
        <w:tc>
          <w:tcPr>
            <w:tcW w:type="dxa" w:w="252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cnap_app grant</w:t>
            </w:r>
          </w:p>
        </w:tc>
        <w:tc>
          <w:tcPr>
            <w:tcW w:type="dxa" w:w="2520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cnap_supervisor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roles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none (reference)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SELECT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SELECT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role_permissions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none (reference)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SELECT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SELECT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consent_policies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none (reference)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SELECT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SELECT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organisations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id = current_org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SELECT/INSERT/UPDATE/DELETE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SELECT all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users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org_id = current_org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SELECT/INSERT/UPDATE/DELETE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SELECT all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consent_acceptances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org_id = current_org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SELECT/INSERT/UPDATE/DELETE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SELECT all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audit_logs</w:t>
            </w:r>
          </w:p>
        </w:tc>
        <w:tc>
          <w:tcPr>
            <w:tcW w:type="dxa" w:w="2520"/>
          </w:tcPr>
          <w:p>
            <w:r/>
            <w:r>
              <w:rPr>
                <w:rFonts w:ascii="Consolas" w:hAnsi="Consolas"/>
                <w:color w:val="A8432A"/>
                <w:sz w:val="19"/>
              </w:rPr>
              <w:t>organisation_id = current_org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SELECT/INSERT (append-only)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SELECT all</w:t>
            </w:r>
          </w:p>
        </w:tc>
      </w:tr>
    </w:tbl>
    <w:p/>
    <w:p>
      <w:pPr>
        <w:pBdr>
          <w:bottom w:val="single" w:sz="6" w:space="1" w:color="C9D2CF"/>
        </w:pBdr>
      </w:pPr>
    </w:p>
    <w:p>
      <w:pPr>
        <w:pStyle w:val="Heading1"/>
      </w:pPr>
      <w:r>
        <w:rPr>
          <w:color w:val="0E6B5D"/>
        </w:rPr>
        <w:t>6. RBAC permission matrix</w:t>
      </w:r>
    </w:p>
    <w:p>
      <w:r>
        <w:t xml:space="preserve">The single source of truth: 9 roles across 12 modules. Each cell shows the granted actions — </w:t>
      </w:r>
      <w:r>
        <w:rPr>
          <w:b/>
        </w:rPr>
        <w:t>R</w:t>
      </w:r>
      <w:r>
        <w:t xml:space="preserve">ead, </w:t>
      </w:r>
      <w:r>
        <w:rPr>
          <w:b/>
        </w:rPr>
        <w:t>W</w:t>
      </w:r>
      <w:r>
        <w:t xml:space="preserve">rite, </w:t>
      </w:r>
      <w:r>
        <w:rPr>
          <w:b/>
        </w:rPr>
        <w:t>C</w:t>
      </w:r>
      <w:r>
        <w:t xml:space="preserve">reate, </w:t>
      </w:r>
      <w:r>
        <w:rPr>
          <w:b/>
        </w:rPr>
        <w:t>A</w:t>
      </w:r>
      <w:r>
        <w:t xml:space="preserve">pprove, </w:t>
      </w:r>
      <w:r>
        <w:rPr>
          <w:b/>
        </w:rPr>
        <w:t>E</w:t>
      </w:r>
      <w:r>
        <w:t xml:space="preserve">xport, </w:t>
      </w:r>
      <w:r>
        <w:rPr>
          <w:b/>
        </w:rPr>
        <w:t>S</w:t>
      </w:r>
      <w:r>
        <w:t>hare. A dash means no access. Roles marked ×-entity can read across organisations.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>
        <w:tc>
          <w:tcPr>
            <w:tcW w:type="dxa" w:w="775"/>
          </w:tcPr>
          <w:p>
            <w:r>
              <w:rPr>
                <w:b/>
              </w:rPr>
            </w:r>
            <w:r>
              <w:rPr>
                <w:b/>
                <w:sz w:val="15"/>
              </w:rPr>
              <w:t>Role</w:t>
            </w:r>
          </w:p>
        </w:tc>
        <w:tc>
          <w:tcPr>
            <w:tcW w:type="dxa" w:w="775"/>
          </w:tcPr>
          <w:p>
            <w:r>
              <w:rPr>
                <w:b/>
              </w:rPr>
            </w:r>
            <w:r>
              <w:rPr>
                <w:b/>
                <w:sz w:val="15"/>
              </w:rPr>
              <w:t>entityTeam</w:t>
            </w:r>
          </w:p>
        </w:tc>
        <w:tc>
          <w:tcPr>
            <w:tcW w:type="dxa" w:w="775"/>
          </w:tcPr>
          <w:p>
            <w:r>
              <w:rPr>
                <w:b/>
              </w:rPr>
            </w:r>
            <w:r>
              <w:rPr>
                <w:b/>
                <w:sz w:val="15"/>
              </w:rPr>
              <w:t>rolesPerm</w:t>
            </w:r>
          </w:p>
        </w:tc>
        <w:tc>
          <w:tcPr>
            <w:tcW w:type="dxa" w:w="775"/>
          </w:tcPr>
          <w:p>
            <w:r>
              <w:rPr>
                <w:b/>
              </w:rPr>
            </w:r>
            <w:r>
              <w:rPr>
                <w:b/>
                <w:sz w:val="15"/>
              </w:rPr>
              <w:t>onboardConsent</w:t>
            </w:r>
          </w:p>
        </w:tc>
        <w:tc>
          <w:tcPr>
            <w:tcW w:type="dxa" w:w="775"/>
          </w:tcPr>
          <w:p>
            <w:r>
              <w:rPr>
                <w:b/>
              </w:rPr>
            </w:r>
            <w:r>
              <w:rPr>
                <w:b/>
                <w:sz w:val="15"/>
              </w:rPr>
              <w:t>methodQBank</w:t>
            </w:r>
          </w:p>
        </w:tc>
        <w:tc>
          <w:tcPr>
            <w:tcW w:type="dxa" w:w="775"/>
          </w:tcPr>
          <w:p>
            <w:r>
              <w:rPr>
                <w:b/>
              </w:rPr>
            </w:r>
            <w:r>
              <w:rPr>
                <w:b/>
                <w:sz w:val="15"/>
              </w:rPr>
              <w:t>studySurvey</w:t>
            </w:r>
          </w:p>
        </w:tc>
        <w:tc>
          <w:tcPr>
            <w:tcW w:type="dxa" w:w="775"/>
          </w:tcPr>
          <w:p>
            <w:r>
              <w:rPr>
                <w:b/>
              </w:rPr>
            </w:r>
            <w:r>
              <w:rPr>
                <w:b/>
                <w:sz w:val="15"/>
              </w:rPr>
              <w:t>dataColl</w:t>
            </w:r>
          </w:p>
        </w:tc>
        <w:tc>
          <w:tcPr>
            <w:tcW w:type="dxa" w:w="775"/>
          </w:tcPr>
          <w:p>
            <w:r>
              <w:rPr>
                <w:b/>
              </w:rPr>
            </w:r>
            <w:r>
              <w:rPr>
                <w:b/>
                <w:sz w:val="15"/>
              </w:rPr>
              <w:t>dataImport</w:t>
            </w:r>
          </w:p>
        </w:tc>
        <w:tc>
          <w:tcPr>
            <w:tcW w:type="dxa" w:w="775"/>
          </w:tcPr>
          <w:p>
            <w:r>
              <w:rPr>
                <w:b/>
              </w:rPr>
            </w:r>
            <w:r>
              <w:rPr>
                <w:b/>
                <w:sz w:val="15"/>
              </w:rPr>
              <w:t>citizenCh</w:t>
            </w:r>
          </w:p>
        </w:tc>
        <w:tc>
          <w:tcPr>
            <w:tcW w:type="dxa" w:w="775"/>
          </w:tcPr>
          <w:p>
            <w:r>
              <w:rPr>
                <w:b/>
              </w:rPr>
            </w:r>
            <w:r>
              <w:rPr>
                <w:b/>
                <w:sz w:val="15"/>
              </w:rPr>
              <w:t>aiReview</w:t>
            </w:r>
          </w:p>
        </w:tc>
        <w:tc>
          <w:tcPr>
            <w:tcW w:type="dxa" w:w="775"/>
          </w:tcPr>
          <w:p>
            <w:r>
              <w:rPr>
                <w:b/>
              </w:rPr>
            </w:r>
            <w:r>
              <w:rPr>
                <w:b/>
                <w:sz w:val="15"/>
              </w:rPr>
              <w:t>priorityScore</w:t>
            </w:r>
          </w:p>
        </w:tc>
        <w:tc>
          <w:tcPr>
            <w:tcW w:type="dxa" w:w="775"/>
          </w:tcPr>
          <w:p>
            <w:r>
              <w:rPr>
                <w:b/>
              </w:rPr>
            </w:r>
            <w:r>
              <w:rPr>
                <w:b/>
                <w:sz w:val="15"/>
              </w:rPr>
              <w:t>reports</w:t>
            </w:r>
          </w:p>
        </w:tc>
        <w:tc>
          <w:tcPr>
            <w:tcW w:type="dxa" w:w="775"/>
          </w:tcPr>
          <w:p>
            <w:r>
              <w:rPr>
                <w:b/>
              </w:rPr>
            </w:r>
            <w:r>
              <w:rPr>
                <w:b/>
                <w:sz w:val="15"/>
              </w:rPr>
              <w:t>archiveAudit</w:t>
            </w:r>
          </w:p>
        </w:tc>
      </w:tr>
      <w:tr>
        <w:tc>
          <w:tcPr>
            <w:tcW w:type="dxa" w:w="775"/>
          </w:tcPr>
          <w:p>
            <w:r/>
            <w:r>
              <w:rPr>
                <w:sz w:val="15"/>
              </w:rPr>
              <w:t>NGO Admin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RWCAES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RWCAES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RWCAES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RWCAES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RWCAES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RWCAES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RWCAES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RWCAES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RWCAES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RWCAES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RWCAES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RWCAES</w:t>
            </w:r>
          </w:p>
        </w:tc>
      </w:tr>
      <w:tr>
        <w:tc>
          <w:tcPr>
            <w:tcW w:type="dxa" w:w="775"/>
          </w:tcPr>
          <w:p>
            <w:r/>
            <w:r>
              <w:rPr>
                <w:sz w:val="15"/>
              </w:rPr>
              <w:t>Research Officer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RWCE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RWC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RWC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RE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</w:tr>
      <w:tr>
        <w:tc>
          <w:tcPr>
            <w:tcW w:type="dxa" w:w="775"/>
          </w:tcPr>
          <w:p>
            <w:r/>
            <w:r>
              <w:rPr>
                <w:sz w:val="15"/>
              </w:rPr>
              <w:t>Field Researcher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RWC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</w:tr>
      <w:tr>
        <w:tc>
          <w:tcPr>
            <w:tcW w:type="dxa" w:w="775"/>
          </w:tcPr>
          <w:p>
            <w:r/>
            <w:r>
              <w:rPr>
                <w:sz w:val="15"/>
              </w:rPr>
              <w:t>Human Reviewer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RWA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</w:tr>
      <w:tr>
        <w:tc>
          <w:tcPr>
            <w:tcW w:type="dxa" w:w="775"/>
          </w:tcPr>
          <w:p>
            <w:r/>
            <w:r>
              <w:rPr>
                <w:sz w:val="15"/>
              </w:rPr>
              <w:t>Data Analyst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RWC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RWCAE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RWCE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</w:tr>
      <w:tr>
        <w:tc>
          <w:tcPr>
            <w:tcW w:type="dxa" w:w="775"/>
          </w:tcPr>
          <w:p>
            <w:r/>
            <w:r>
              <w:rPr>
                <w:sz w:val="15"/>
              </w:rPr>
              <w:t>System Admin ×-entity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RWCE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</w:tr>
      <w:tr>
        <w:tc>
          <w:tcPr>
            <w:tcW w:type="dxa" w:w="775"/>
          </w:tcPr>
          <w:p>
            <w:r/>
            <w:r>
              <w:rPr>
                <w:sz w:val="15"/>
              </w:rPr>
              <w:t>Read-only Viewer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RE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</w:tr>
      <w:tr>
        <w:tc>
          <w:tcPr>
            <w:tcW w:type="dxa" w:w="775"/>
          </w:tcPr>
          <w:p>
            <w:r/>
            <w:r>
              <w:rPr>
                <w:sz w:val="15"/>
              </w:rPr>
              <w:t>Center Supervisor ×-entity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RE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R</w:t>
            </w:r>
          </w:p>
        </w:tc>
      </w:tr>
      <w:tr>
        <w:tc>
          <w:tcPr>
            <w:tcW w:type="dxa" w:w="775"/>
          </w:tcPr>
          <w:p>
            <w:r/>
            <w:r>
              <w:rPr>
                <w:sz w:val="15"/>
              </w:rPr>
              <w:t>Citizen Guest (no login)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C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–</w:t>
            </w:r>
          </w:p>
        </w:tc>
      </w:tr>
    </w:tbl>
    <w:p/>
    <w:p>
      <w:r>
        <w:t>Citizen Guest is a public data source (submits a need via the citizen channel), not a login-capable account — it is excluded from user assignment.</w:t>
      </w:r>
    </w:p>
    <w:p>
      <w:pPr>
        <w:pBdr>
          <w:bottom w:val="single" w:sz="6" w:space="1" w:color="C9D2CF"/>
        </w:pBdr>
      </w:pPr>
    </w:p>
    <w:p>
      <w:pPr>
        <w:pStyle w:val="Heading1"/>
      </w:pPr>
      <w:r>
        <w:rPr>
          <w:color w:val="0E6B5D"/>
        </w:rPr>
        <w:t>7. Not yet built</w:t>
      </w:r>
    </w:p>
    <w:p>
      <w:r>
        <w:t>The delivered scope is the identity / RBAC / org / user / audit foundation. The following are scoped and planned but not implemented:</w:t>
      </w:r>
    </w:p>
    <w:p>
      <w:pPr>
        <w:pStyle w:val="ListBullet"/>
      </w:pPr>
      <w:r>
        <w:rPr>
          <w:b/>
        </w:rPr>
        <w:t>OTP staff login + forgot / reset password</w:t>
      </w:r>
      <w:r>
        <w:t xml:space="preserve"> — blocked on a mail/SMS provider.</w:t>
      </w:r>
    </w:p>
    <w:p>
      <w:pPr>
        <w:pStyle w:val="ListBullet"/>
      </w:pPr>
      <w:r>
        <w:rPr>
          <w:b/>
        </w:rPr>
        <w:t>The PRD assessment pipeline</w:t>
      </w:r>
      <w:r>
        <w:t xml:space="preserve"> — studies → define-need (AI) → survey-from-bank → data collection → 5-level scoring → Top-5 priorities → evidence → three reports (PDF/Excel) → sharing → supervisor review.</w:t>
      </w:r>
    </w:p>
    <w:p>
      <w:pPr>
        <w:pStyle w:val="ListBullet"/>
      </w:pPr>
      <w:r>
        <w:rPr>
          <w:b/>
        </w:rPr>
        <w:t>dataImport &amp; citizenChannel features</w:t>
      </w:r>
      <w:r>
        <w:t xml:space="preserve"> — permissions are seeded but the features are intentionally inert this phase.</w:t>
      </w:r>
    </w:p>
    <w:p>
      <w:pPr>
        <w:pStyle w:val="ListBullet"/>
      </w:pPr>
      <w:r>
        <w:rPr>
          <w:b/>
        </w:rPr>
        <w:t>Production hardening</w:t>
      </w:r>
      <w:r>
        <w:t xml:space="preserve"> — CA-signed TLS certificates, rotated secrets, encrypted storage volumes, load/soak and penetration testing.</w:t>
      </w:r>
    </w:p>
    <w:p>
      <w:pPr>
        <w:ind w:left="216"/>
        <w:pBdr>
          <w:left w:val="single" w:sz="18" w:space="8" w:color="0E6B5D"/>
        </w:pBdr>
        <w:shd w:val="clear" w:fill="EAF2F0"/>
      </w:pPr>
      <w:r>
        <w:rPr>
          <w:b/>
          <w:i/>
          <w:color w:val="55635F"/>
        </w:rPr>
        <w:t>Verification gate:</w:t>
      </w:r>
      <w:r>
        <w:rPr>
          <w:i/>
          <w:color w:val="55635F"/>
        </w:rPr>
        <w:t xml:space="preserve"> every change lands only when </w:t>
      </w:r>
      <w:r>
        <w:rPr>
          <w:rFonts w:ascii="Consolas" w:hAnsi="Consolas"/>
          <w:i/>
          <w:color w:val="A8432A"/>
          <w:sz w:val="19"/>
        </w:rPr>
        <w:t>pnpm test</w:t>
      </w:r>
      <w:r>
        <w:rPr>
          <w:i/>
          <w:color w:val="55635F"/>
        </w:rPr>
        <w:t xml:space="preserve"> (82 tests, real DB) and </w:t>
      </w:r>
      <w:r>
        <w:rPr>
          <w:rFonts w:ascii="Consolas" w:hAnsi="Consolas"/>
          <w:i/>
          <w:color w:val="A8432A"/>
          <w:sz w:val="19"/>
        </w:rPr>
        <w:t>pnpm build</w:t>
      </w:r>
      <w:r>
        <w:rPr>
          <w:i/>
          <w:color w:val="55635F"/>
        </w:rPr>
        <w:t xml:space="preserve"> are both green. The requirement→implementation→test mapping is maintained in [</w:t>
      </w:r>
      <w:r>
        <w:rPr>
          <w:rFonts w:ascii="Consolas" w:hAnsi="Consolas"/>
          <w:i/>
          <w:color w:val="A8432A"/>
          <w:sz w:val="19"/>
        </w:rPr>
        <w:t>docs/traceability-matrix.md</w:t>
      </w:r>
      <w:r>
        <w:rPr>
          <w:i/>
          <w:color w:val="55635F"/>
        </w:rPr>
        <w:t>](./traceability-matrix.md).</w:t>
      </w:r>
    </w:p>
    <w:p>
      <w:pPr>
        <w:pBdr>
          <w:bottom w:val="single" w:sz="6" w:space="1" w:color="C9D2CF"/>
        </w:pBdr>
      </w:pPr>
    </w:p>
    <w:p>
      <w:r>
        <w:t xml:space="preserve">*CNAP API · Community Needs Assessment Platform (Project Rio) · internal engineering report · compiled 2026-07-13 from branch </w:t>
      </w:r>
      <w:r>
        <w:rPr>
          <w:rFonts w:ascii="Consolas" w:hAnsi="Consolas"/>
          <w:color w:val="A8432A"/>
          <w:sz w:val="19"/>
        </w:rPr>
        <w:t>main</w:t>
      </w:r>
      <w:r>
        <w:t xml:space="preserve"> (merge </w:t>
      </w:r>
      <w:r>
        <w:rPr>
          <w:rFonts w:ascii="Consolas" w:hAnsi="Consolas"/>
          <w:color w:val="A8432A"/>
          <w:sz w:val="19"/>
        </w:rPr>
        <w:t>99b7335</w:t>
      </w:r>
      <w:r>
        <w:t>).*</w:t>
      </w:r>
    </w:p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