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E370" w14:textId="77777777" w:rsidR="005B1A24" w:rsidRDefault="00000000">
      <w:pPr>
        <w:spacing w:after="80"/>
      </w:pPr>
      <w:r>
        <w:rPr>
          <w:b/>
          <w:color w:val="1F2D5A"/>
          <w:sz w:val="42"/>
        </w:rPr>
        <w:t>Project RIO (CNAP) — Requirements Delivery Report</w:t>
      </w:r>
    </w:p>
    <w:p w14:paraId="1160EB60" w14:textId="64718937" w:rsidR="005B1A24" w:rsidRDefault="00000000">
      <w:r>
        <w:rPr>
          <w:b/>
        </w:rPr>
        <w:t>Prepared for:</w:t>
      </w:r>
      <w:r>
        <w:t xml:space="preserve"> Client review </w:t>
      </w:r>
      <w:r>
        <w:rPr>
          <w:b/>
        </w:rPr>
        <w:t>Component:</w:t>
      </w:r>
      <w:r>
        <w:t xml:space="preserve"> Backend API (</w:t>
      </w:r>
      <w:r>
        <w:rPr>
          <w:rFonts w:ascii="Consolas" w:hAnsi="Consolas"/>
          <w:color w:val="9C2730"/>
          <w:sz w:val="18"/>
        </w:rPr>
        <w:t>Project-RIO-Backend</w:t>
      </w:r>
      <w:r>
        <w:t xml:space="preserve">, package </w:t>
      </w:r>
      <w:r>
        <w:rPr>
          <w:rFonts w:ascii="Consolas" w:hAnsi="Consolas"/>
          <w:color w:val="9C2730"/>
          <w:sz w:val="18"/>
        </w:rPr>
        <w:t>cnap-api</w:t>
      </w:r>
      <w:r>
        <w:t xml:space="preserve">) </w:t>
      </w:r>
      <w:r>
        <w:rPr>
          <w:b/>
        </w:rPr>
        <w:t>Scope of this report:</w:t>
      </w:r>
      <w:r>
        <w:t xml:space="preserve"> the 11 foundation requirements — how each was implemented, the libraries used, and the industry standards followed. </w:t>
      </w:r>
      <w:r>
        <w:rPr>
          <w:b/>
        </w:rPr>
        <w:t>As of:</w:t>
      </w:r>
      <w:r>
        <w:t xml:space="preserve"> 2026‑07‑14 · Branch </w:t>
      </w:r>
      <w:r>
        <w:rPr>
          <w:rFonts w:ascii="Consolas" w:hAnsi="Consolas"/>
          <w:color w:val="9C2730"/>
          <w:sz w:val="18"/>
        </w:rPr>
        <w:t>main</w:t>
      </w:r>
      <w:r>
        <w:t xml:space="preserve"> </w:t>
      </w:r>
      <w:r>
        <w:rPr>
          <w:b/>
        </w:rPr>
        <w:t>Stack:</w:t>
      </w:r>
      <w:r>
        <w:t xml:space="preserve"> NestJS 11 · Prisma 7 · PostgreSQL 18 · Node 24 LTS · TypeScript 5 (strict) </w:t>
      </w:r>
      <w:r>
        <w:rPr>
          <w:b/>
        </w:rPr>
        <w:t>Verification:</w:t>
      </w:r>
      <w:r>
        <w:t xml:space="preserve"> 82 automated tests green (Vitest unit + Supertest end‑to‑end against a real, TLS‑enabled PostgreSQL), clean build.</w:t>
      </w:r>
    </w:p>
    <w:p w14:paraId="4E327162" w14:textId="77777777" w:rsidR="005B1A24" w:rsidRDefault="005B1A24">
      <w:pPr>
        <w:pBdr>
          <w:bottom w:val="single" w:sz="6" w:space="4" w:color="C6D0E0"/>
        </w:pBdr>
        <w:spacing w:before="40" w:after="160"/>
      </w:pPr>
    </w:p>
    <w:p w14:paraId="00348D3B" w14:textId="77777777" w:rsidR="005B1A24" w:rsidRDefault="00000000">
      <w:pPr>
        <w:pBdr>
          <w:bottom w:val="single" w:sz="8" w:space="4" w:color="1F2D5A"/>
        </w:pBdr>
        <w:spacing w:before="240"/>
      </w:pPr>
      <w:r>
        <w:rPr>
          <w:b/>
          <w:color w:val="1F2D5A"/>
          <w:sz w:val="29"/>
        </w:rPr>
        <w:t>1. Executive summary</w:t>
      </w:r>
    </w:p>
    <w:p w14:paraId="7B1AAEA0" w14:textId="77777777" w:rsidR="005B1A24" w:rsidRDefault="00000000">
      <w:r>
        <w:t xml:space="preserve">The backend delivers the </w:t>
      </w:r>
      <w:r>
        <w:rPr>
          <w:b/>
        </w:rPr>
        <w:t>identity, multi‑tenancy, authorization (RBAC), authentication, consent, and audit</w:t>
      </w:r>
      <w:r>
        <w:t xml:space="preserve"> foundation for the Community Needs Assessment Platform. These 11 requirements were prioritised deliberately: they are the </w:t>
      </w:r>
      <w:r>
        <w:rPr>
          <w:i/>
        </w:rPr>
        <w:t>load‑bearing</w:t>
      </w:r>
      <w:r>
        <w:t xml:space="preserve"> layer — tenant isolation, access control, and audit must exist </w:t>
      </w:r>
      <w:r>
        <w:rPr>
          <w:b/>
        </w:rPr>
        <w:t>before</w:t>
      </w:r>
      <w:r>
        <w:t xml:space="preserve"> any assessment data flows, because retrofitting them later would force rework across every table, screen, and API.</w:t>
      </w:r>
    </w:p>
    <w:p w14:paraId="49AA380C" w14:textId="77777777" w:rsidR="005B1A24" w:rsidRDefault="00000000">
      <w:r>
        <w:t xml:space="preserve">Design principle throughout: </w:t>
      </w:r>
      <w:r>
        <w:rPr>
          <w:b/>
        </w:rPr>
        <w:t>isolation and enforcement live in the database, not just the application.</w:t>
      </w:r>
      <w:r>
        <w:t xml:space="preserve"> Even if an application‑layer bug forgot to scope a query, PostgreSQL Row‑Level Security (RLS) still refuses to return another entity's rows. This is the strongest form of multi‑tenant isolation.</w:t>
      </w:r>
    </w:p>
    <w:p w14:paraId="2234F941" w14:textId="77777777" w:rsidR="005B1A24" w:rsidRDefault="00000000">
      <w:r>
        <w:rPr>
          <w:b/>
        </w:rPr>
        <w:t>Coverage of the 11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B1A24" w14:paraId="5246D4FB" w14:textId="77777777">
        <w:trPr>
          <w:jc w:val="center"/>
        </w:trPr>
        <w:tc>
          <w:tcPr>
            <w:tcW w:w="3324" w:type="dxa"/>
            <w:shd w:val="clear" w:color="auto" w:fill="1F2D5A"/>
          </w:tcPr>
          <w:p w14:paraId="654B04BC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3324" w:type="dxa"/>
            <w:shd w:val="clear" w:color="auto" w:fill="1F2D5A"/>
          </w:tcPr>
          <w:p w14:paraId="0A017D23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w="3324" w:type="dxa"/>
            <w:shd w:val="clear" w:color="auto" w:fill="1F2D5A"/>
          </w:tcPr>
          <w:p w14:paraId="762A5D36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Requirements</w:t>
            </w:r>
          </w:p>
        </w:tc>
      </w:tr>
      <w:tr w:rsidR="005B1A24" w14:paraId="6FEDD309" w14:textId="77777777">
        <w:trPr>
          <w:jc w:val="center"/>
        </w:trPr>
        <w:tc>
          <w:tcPr>
            <w:tcW w:w="3324" w:type="dxa"/>
          </w:tcPr>
          <w:p w14:paraId="02657E79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✅ Delivered &amp; verified</w:t>
            </w:r>
          </w:p>
        </w:tc>
        <w:tc>
          <w:tcPr>
            <w:tcW w:w="3324" w:type="dxa"/>
          </w:tcPr>
          <w:p w14:paraId="0AB1A0E8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w="3324" w:type="dxa"/>
          </w:tcPr>
          <w:p w14:paraId="5B76998E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RBAC‑001, FR‑010, FR‑007, FR‑Add‑03, NFR‑003, NFR‑013, NFR‑015, NFR‑001</w:t>
            </w:r>
          </w:p>
        </w:tc>
      </w:tr>
      <w:tr w:rsidR="005B1A24" w14:paraId="73DCBECB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11C5F7DC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🟡 Foundation delivered; a named part awaits later features</w:t>
            </w:r>
          </w:p>
        </w:tc>
        <w:tc>
          <w:tcPr>
            <w:tcW w:w="3324" w:type="dxa"/>
            <w:shd w:val="clear" w:color="auto" w:fill="F2F5FA"/>
          </w:tcPr>
          <w:p w14:paraId="72C26280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324" w:type="dxa"/>
            <w:shd w:val="clear" w:color="auto" w:fill="F2F5FA"/>
          </w:tcPr>
          <w:p w14:paraId="2649AF74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NFR‑004 (decision entities arrive with the AI/approval features), NFR‑006 (load/soak testing pending)</w:t>
            </w:r>
          </w:p>
        </w:tc>
      </w:tr>
      <w:tr w:rsidR="005B1A24" w14:paraId="389A4291" w14:textId="77777777">
        <w:trPr>
          <w:jc w:val="center"/>
        </w:trPr>
        <w:tc>
          <w:tcPr>
            <w:tcW w:w="3324" w:type="dxa"/>
          </w:tcPr>
          <w:p w14:paraId="769060C9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⬜ Owned by the frontend component</w:t>
            </w:r>
          </w:p>
        </w:tc>
        <w:tc>
          <w:tcPr>
            <w:tcW w:w="3324" w:type="dxa"/>
          </w:tcPr>
          <w:p w14:paraId="1BDE06B8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324" w:type="dxa"/>
          </w:tcPr>
          <w:p w14:paraId="2FB47286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NFR‑009 (browser rendering; backend contributes standards‑compliant HTTP/CORS)</w:t>
            </w:r>
          </w:p>
        </w:tc>
      </w:tr>
    </w:tbl>
    <w:p w14:paraId="10F87DE2" w14:textId="77777777" w:rsidR="005B1A24" w:rsidRDefault="005B1A24">
      <w:pPr>
        <w:spacing w:after="40"/>
      </w:pPr>
    </w:p>
    <w:p w14:paraId="28020C56" w14:textId="77777777" w:rsidR="005B1A24" w:rsidRDefault="005B1A24">
      <w:pPr>
        <w:pBdr>
          <w:bottom w:val="single" w:sz="6" w:space="4" w:color="C6D0E0"/>
        </w:pBdr>
        <w:spacing w:before="40" w:after="160"/>
      </w:pPr>
    </w:p>
    <w:p w14:paraId="71A012C9" w14:textId="77777777" w:rsidR="005B1A24" w:rsidRDefault="00000000">
      <w:pPr>
        <w:pBdr>
          <w:bottom w:val="single" w:sz="8" w:space="4" w:color="1F2D5A"/>
        </w:pBdr>
        <w:spacing w:before="240"/>
      </w:pPr>
      <w:r>
        <w:rPr>
          <w:b/>
          <w:color w:val="1F2D5A"/>
          <w:sz w:val="29"/>
        </w:rPr>
        <w:t>2. Standards &amp; guidance followed</w:t>
      </w:r>
    </w:p>
    <w:p w14:paraId="24FD972B" w14:textId="77777777" w:rsidR="005B1A24" w:rsidRDefault="00000000">
      <w:r>
        <w:t>The implementation is built to align with the following recognised standards and industry guidance. (Alignment means the design follows the referenced practice; it does not imply formal certification.)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5B1A24" w14:paraId="230664A1" w14:textId="77777777">
        <w:trPr>
          <w:jc w:val="center"/>
        </w:trPr>
        <w:tc>
          <w:tcPr>
            <w:tcW w:w="4986" w:type="dxa"/>
            <w:shd w:val="clear" w:color="auto" w:fill="1F2D5A"/>
          </w:tcPr>
          <w:p w14:paraId="2F9D00B3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4986" w:type="dxa"/>
            <w:shd w:val="clear" w:color="auto" w:fill="1F2D5A"/>
          </w:tcPr>
          <w:p w14:paraId="35308FB8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Standard / guidance</w:t>
            </w:r>
          </w:p>
        </w:tc>
      </w:tr>
      <w:tr w:rsidR="005B1A24" w14:paraId="6AF77F66" w14:textId="77777777">
        <w:trPr>
          <w:jc w:val="center"/>
        </w:trPr>
        <w:tc>
          <w:tcPr>
            <w:tcW w:w="4986" w:type="dxa"/>
          </w:tcPr>
          <w:p w14:paraId="474F45B6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Overall software quality model</w:t>
            </w:r>
          </w:p>
        </w:tc>
        <w:tc>
          <w:tcPr>
            <w:tcW w:w="4986" w:type="dxa"/>
          </w:tcPr>
          <w:p w14:paraId="47322D0F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ISO/IEC 25010</w:t>
            </w:r>
            <w:r>
              <w:rPr>
                <w:sz w:val="19"/>
              </w:rPr>
              <w:t xml:space="preserve"> — security, maintainability, performance/scalability, portability characteristics</w:t>
            </w:r>
          </w:p>
        </w:tc>
      </w:tr>
      <w:tr w:rsidR="005B1A24" w14:paraId="2A77FA67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33DF5BEC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Application security controls</w:t>
            </w:r>
          </w:p>
        </w:tc>
        <w:tc>
          <w:tcPr>
            <w:tcW w:w="4986" w:type="dxa"/>
            <w:shd w:val="clear" w:color="auto" w:fill="F2F5FA"/>
          </w:tcPr>
          <w:p w14:paraId="1AD64DEB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OWASP ASVS 4.0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OWASP Top 10 (2021)</w:t>
            </w:r>
          </w:p>
        </w:tc>
      </w:tr>
      <w:tr w:rsidR="005B1A24" w14:paraId="2D1B83DF" w14:textId="77777777">
        <w:trPr>
          <w:jc w:val="center"/>
        </w:trPr>
        <w:tc>
          <w:tcPr>
            <w:tcW w:w="4986" w:type="dxa"/>
          </w:tcPr>
          <w:p w14:paraId="57CE0693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Password storage</w:t>
            </w:r>
          </w:p>
        </w:tc>
        <w:tc>
          <w:tcPr>
            <w:tcW w:w="4986" w:type="dxa"/>
          </w:tcPr>
          <w:p w14:paraId="15DF2858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OWASP Password Storage Cheat Sheet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Argon2id</w:t>
            </w:r>
            <w:r>
              <w:rPr>
                <w:sz w:val="19"/>
              </w:rPr>
              <w:t xml:space="preserve"> (Password Hashing Competition winner, </w:t>
            </w:r>
            <w:r>
              <w:rPr>
                <w:b/>
                <w:sz w:val="19"/>
              </w:rPr>
              <w:t>RFC 9106</w:t>
            </w:r>
            <w:r>
              <w:rPr>
                <w:sz w:val="19"/>
              </w:rPr>
              <w:t>)</w:t>
            </w:r>
          </w:p>
        </w:tc>
      </w:tr>
      <w:tr w:rsidR="005B1A24" w14:paraId="3DCB86EE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139EDBEE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Token authentication</w:t>
            </w:r>
          </w:p>
        </w:tc>
        <w:tc>
          <w:tcPr>
            <w:tcW w:w="4986" w:type="dxa"/>
            <w:shd w:val="clear" w:color="auto" w:fill="F2F5FA"/>
          </w:tcPr>
          <w:p w14:paraId="5067EBBD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RFC 7519</w:t>
            </w:r>
            <w:r>
              <w:rPr>
                <w:sz w:val="19"/>
              </w:rPr>
              <w:t xml:space="preserve"> (JWT), </w:t>
            </w:r>
            <w:r>
              <w:rPr>
                <w:b/>
                <w:sz w:val="19"/>
              </w:rPr>
              <w:t>RFC 6750</w:t>
            </w:r>
            <w:r>
              <w:rPr>
                <w:sz w:val="19"/>
              </w:rPr>
              <w:t xml:space="preserve"> (Bearer), </w:t>
            </w:r>
            <w:r>
              <w:rPr>
                <w:b/>
                <w:sz w:val="19"/>
              </w:rPr>
              <w:t>RFC 8725</w:t>
            </w:r>
            <w:r>
              <w:rPr>
                <w:sz w:val="19"/>
              </w:rPr>
              <w:t xml:space="preserve"> (JWT Best Current Practice)</w:t>
            </w:r>
          </w:p>
        </w:tc>
      </w:tr>
      <w:tr w:rsidR="005B1A24" w14:paraId="4173D8BB" w14:textId="77777777">
        <w:trPr>
          <w:jc w:val="center"/>
        </w:trPr>
        <w:tc>
          <w:tcPr>
            <w:tcW w:w="4986" w:type="dxa"/>
          </w:tcPr>
          <w:p w14:paraId="44042710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Transport security</w:t>
            </w:r>
          </w:p>
        </w:tc>
        <w:tc>
          <w:tcPr>
            <w:tcW w:w="4986" w:type="dxa"/>
          </w:tcPr>
          <w:p w14:paraId="6E5B590A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TLS 1.3 (RFC 8446)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HTTP Strict Transport Security — RFC 6797</w:t>
            </w:r>
          </w:p>
        </w:tc>
      </w:tr>
      <w:tr w:rsidR="005B1A24" w14:paraId="29E04837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144E60C4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Access control model</w:t>
            </w:r>
          </w:p>
        </w:tc>
        <w:tc>
          <w:tcPr>
            <w:tcW w:w="4986" w:type="dxa"/>
            <w:shd w:val="clear" w:color="auto" w:fill="F2F5FA"/>
          </w:tcPr>
          <w:p w14:paraId="1DE30916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NIST RBAC / ANSI INCITS 359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least privilege — NIST SP 800‑53 AC‑6</w:t>
            </w:r>
          </w:p>
        </w:tc>
      </w:tr>
      <w:tr w:rsidR="005B1A24" w14:paraId="10DBFC16" w14:textId="77777777">
        <w:trPr>
          <w:jc w:val="center"/>
        </w:trPr>
        <w:tc>
          <w:tcPr>
            <w:tcW w:w="4986" w:type="dxa"/>
          </w:tcPr>
          <w:p w14:paraId="1C3F3ACD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Logging &amp; audit</w:t>
            </w:r>
          </w:p>
        </w:tc>
        <w:tc>
          <w:tcPr>
            <w:tcW w:w="4986" w:type="dxa"/>
          </w:tcPr>
          <w:p w14:paraId="40BF95A0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ISO/IEC 27001 A.12.4</w:t>
            </w:r>
            <w:r>
              <w:rPr>
                <w:sz w:val="19"/>
              </w:rPr>
              <w:t xml:space="preserve"> (logging &amp; monitoring); </w:t>
            </w:r>
            <w:r>
              <w:rPr>
                <w:b/>
                <w:sz w:val="19"/>
              </w:rPr>
              <w:t>NIST SP 800‑92</w:t>
            </w:r>
            <w:r>
              <w:rPr>
                <w:sz w:val="19"/>
              </w:rPr>
              <w:t xml:space="preserve"> (log management)</w:t>
            </w:r>
          </w:p>
        </w:tc>
      </w:tr>
      <w:tr w:rsidR="005B1A24" w14:paraId="36C0BFB0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62628D1D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Privacy / consent</w:t>
            </w:r>
          </w:p>
        </w:tc>
        <w:tc>
          <w:tcPr>
            <w:tcW w:w="4986" w:type="dxa"/>
            <w:shd w:val="clear" w:color="auto" w:fill="F2F5FA"/>
          </w:tcPr>
          <w:p w14:paraId="79CC896B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GDPR</w:t>
            </w:r>
            <w:r>
              <w:rPr>
                <w:sz w:val="19"/>
              </w:rPr>
              <w:t xml:space="preserve"> Art. 7 (consent), Art. 25 (data protection by design), Art. 30 (records of processing)</w:t>
            </w:r>
          </w:p>
        </w:tc>
      </w:tr>
      <w:tr w:rsidR="005B1A24" w14:paraId="3BA35CEE" w14:textId="77777777">
        <w:trPr>
          <w:jc w:val="center"/>
        </w:trPr>
        <w:tc>
          <w:tcPr>
            <w:tcW w:w="4986" w:type="dxa"/>
          </w:tcPr>
          <w:p w14:paraId="1B86997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CSRF defence</w:t>
            </w:r>
          </w:p>
        </w:tc>
        <w:tc>
          <w:tcPr>
            <w:tcW w:w="4986" w:type="dxa"/>
          </w:tcPr>
          <w:p w14:paraId="15BAD5A8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OWASP CSRF Prevention</w:t>
            </w:r>
            <w:r>
              <w:rPr>
                <w:sz w:val="19"/>
              </w:rPr>
              <w:t xml:space="preserve"> (double‑submit cookie)</w:t>
            </w:r>
          </w:p>
        </w:tc>
      </w:tr>
      <w:tr w:rsidR="005B1A24" w14:paraId="58CBBD5A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0530FA92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Requirements traceability</w:t>
            </w:r>
          </w:p>
        </w:tc>
        <w:tc>
          <w:tcPr>
            <w:tcW w:w="4986" w:type="dxa"/>
            <w:shd w:val="clear" w:color="auto" w:fill="F2F5FA"/>
          </w:tcPr>
          <w:p w14:paraId="430959ED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ISO/IEC/IEEE 29148</w:t>
            </w:r>
            <w:r>
              <w:rPr>
                <w:sz w:val="19"/>
              </w:rPr>
              <w:t xml:space="preserve"> requirements‑engineering traceability (RTM)</w:t>
            </w:r>
          </w:p>
        </w:tc>
      </w:tr>
      <w:tr w:rsidR="005B1A24" w14:paraId="3C32C679" w14:textId="77777777">
        <w:trPr>
          <w:jc w:val="center"/>
        </w:trPr>
        <w:tc>
          <w:tcPr>
            <w:tcW w:w="4986" w:type="dxa"/>
          </w:tcPr>
          <w:p w14:paraId="1B2C00E3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Configuration &amp; statelessness</w:t>
            </w:r>
          </w:p>
        </w:tc>
        <w:tc>
          <w:tcPr>
            <w:tcW w:w="4986" w:type="dxa"/>
          </w:tcPr>
          <w:p w14:paraId="022ABA1E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Twelve‑Factor App</w:t>
            </w:r>
            <w:r>
              <w:rPr>
                <w:sz w:val="19"/>
              </w:rPr>
              <w:t xml:space="preserve"> (config in environment; stateless processes)</w:t>
            </w:r>
          </w:p>
        </w:tc>
      </w:tr>
      <w:tr w:rsidR="005B1A24" w14:paraId="67814F73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02F4E4EF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Cross‑origin / web APIs</w:t>
            </w:r>
          </w:p>
        </w:tc>
        <w:tc>
          <w:tcPr>
            <w:tcW w:w="4986" w:type="dxa"/>
            <w:shd w:val="clear" w:color="auto" w:fill="F2F5FA"/>
          </w:tcPr>
          <w:p w14:paraId="07FF4832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WHATWG Fetch / W3C CORS</w:t>
            </w:r>
          </w:p>
        </w:tc>
      </w:tr>
    </w:tbl>
    <w:p w14:paraId="66D1E2D4" w14:textId="77777777" w:rsidR="005B1A24" w:rsidRDefault="005B1A24">
      <w:pPr>
        <w:spacing w:after="40"/>
      </w:pPr>
    </w:p>
    <w:p w14:paraId="1CF7DDCC" w14:textId="77777777" w:rsidR="005B1A24" w:rsidRDefault="005B1A24">
      <w:pPr>
        <w:pBdr>
          <w:bottom w:val="single" w:sz="6" w:space="4" w:color="C6D0E0"/>
        </w:pBdr>
        <w:spacing w:before="40" w:after="160"/>
      </w:pPr>
    </w:p>
    <w:p w14:paraId="6C049B78" w14:textId="77777777" w:rsidR="005B1A24" w:rsidRDefault="00000000">
      <w:pPr>
        <w:pBdr>
          <w:bottom w:val="single" w:sz="8" w:space="4" w:color="1F2D5A"/>
        </w:pBdr>
        <w:spacing w:before="240"/>
      </w:pPr>
      <w:r>
        <w:rPr>
          <w:b/>
          <w:color w:val="1F2D5A"/>
          <w:sz w:val="29"/>
        </w:rPr>
        <w:t>3. Technology &amp; package inventory</w:t>
      </w:r>
    </w:p>
    <w:p w14:paraId="07CD4BEC" w14:textId="77777777" w:rsidR="005B1A24" w:rsidRDefault="00000000">
      <w:r>
        <w:t xml:space="preserve">Every dependency below is a current, actively‑maintained, permissively‑licensed package pinned in </w:t>
      </w:r>
      <w:r>
        <w:rPr>
          <w:rFonts w:ascii="Consolas" w:hAnsi="Consolas"/>
          <w:color w:val="9C2730"/>
          <w:sz w:val="18"/>
        </w:rPr>
        <w:t>package.json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B1A24" w14:paraId="618BB22F" w14:textId="77777777">
        <w:trPr>
          <w:jc w:val="center"/>
        </w:trPr>
        <w:tc>
          <w:tcPr>
            <w:tcW w:w="3324" w:type="dxa"/>
            <w:shd w:val="clear" w:color="auto" w:fill="1F2D5A"/>
          </w:tcPr>
          <w:p w14:paraId="69E663FD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Package (version)</w:t>
            </w:r>
          </w:p>
        </w:tc>
        <w:tc>
          <w:tcPr>
            <w:tcW w:w="3324" w:type="dxa"/>
            <w:shd w:val="clear" w:color="auto" w:fill="1F2D5A"/>
          </w:tcPr>
          <w:p w14:paraId="4696D726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 in the system</w:t>
            </w:r>
          </w:p>
        </w:tc>
        <w:tc>
          <w:tcPr>
            <w:tcW w:w="3324" w:type="dxa"/>
            <w:shd w:val="clear" w:color="auto" w:fill="1F2D5A"/>
          </w:tcPr>
          <w:p w14:paraId="23C89869" w14:textId="77777777" w:rsidR="005B1A24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Serves requirement(s)</w:t>
            </w:r>
          </w:p>
        </w:tc>
      </w:tr>
      <w:tr w:rsidR="005B1A24" w14:paraId="45BFBF9C" w14:textId="77777777">
        <w:trPr>
          <w:jc w:val="center"/>
        </w:trPr>
        <w:tc>
          <w:tcPr>
            <w:tcW w:w="3324" w:type="dxa"/>
          </w:tcPr>
          <w:p w14:paraId="473F9E33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@nestjs/common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9C2730"/>
                <w:sz w:val="18"/>
              </w:rPr>
              <w:t>@nestjs/core</w:t>
            </w:r>
            <w:r>
              <w:rPr>
                <w:sz w:val="19"/>
              </w:rPr>
              <w:t xml:space="preserve"> (11)</w:t>
            </w:r>
          </w:p>
        </w:tc>
        <w:tc>
          <w:tcPr>
            <w:tcW w:w="3324" w:type="dxa"/>
          </w:tcPr>
          <w:p w14:paraId="6EA4DE4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Application framework — modular architecture, dependency injection, guards</w:t>
            </w:r>
          </w:p>
        </w:tc>
        <w:tc>
          <w:tcPr>
            <w:tcW w:w="3324" w:type="dxa"/>
          </w:tcPr>
          <w:p w14:paraId="45F0E64C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NFR‑013, all</w:t>
            </w:r>
          </w:p>
        </w:tc>
      </w:tr>
      <w:tr w:rsidR="005B1A24" w14:paraId="155FC049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6826A0E1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@prisma/client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9C2730"/>
                <w:sz w:val="18"/>
              </w:rPr>
              <w:t>prisma</w:t>
            </w:r>
            <w:r>
              <w:rPr>
                <w:sz w:val="19"/>
              </w:rPr>
              <w:t xml:space="preserve"> (7) + </w:t>
            </w:r>
            <w:r>
              <w:rPr>
                <w:rFonts w:ascii="Consolas" w:hAnsi="Consolas"/>
                <w:color w:val="9C2730"/>
                <w:sz w:val="18"/>
              </w:rPr>
              <w:t>@prisma/adapter-pg</w:t>
            </w:r>
            <w:r>
              <w:rPr>
                <w:sz w:val="19"/>
              </w:rPr>
              <w:t xml:space="preserve"> (7.8)</w:t>
            </w:r>
          </w:p>
        </w:tc>
        <w:tc>
          <w:tcPr>
            <w:tcW w:w="3324" w:type="dxa"/>
            <w:shd w:val="clear" w:color="auto" w:fill="F2F5FA"/>
          </w:tcPr>
          <w:p w14:paraId="2CF6D672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 xml:space="preserve">Type‑safe data access; driver‑adapter over </w:t>
            </w:r>
            <w:r>
              <w:rPr>
                <w:rFonts w:ascii="Consolas" w:hAnsi="Consolas"/>
                <w:color w:val="9C2730"/>
                <w:sz w:val="18"/>
              </w:rPr>
              <w:t>pg</w:t>
            </w:r>
          </w:p>
        </w:tc>
        <w:tc>
          <w:tcPr>
            <w:tcW w:w="3324" w:type="dxa"/>
            <w:shd w:val="clear" w:color="auto" w:fill="F2F5FA"/>
          </w:tcPr>
          <w:p w14:paraId="148D8CD0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FR‑010, NFR‑013</w:t>
            </w:r>
          </w:p>
        </w:tc>
      </w:tr>
      <w:tr w:rsidR="005B1A24" w14:paraId="3DF7EBB1" w14:textId="77777777">
        <w:trPr>
          <w:jc w:val="center"/>
        </w:trPr>
        <w:tc>
          <w:tcPr>
            <w:tcW w:w="3324" w:type="dxa"/>
          </w:tcPr>
          <w:p w14:paraId="15607741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pg</w:t>
            </w:r>
            <w:r>
              <w:rPr>
                <w:sz w:val="19"/>
              </w:rPr>
              <w:t xml:space="preserve"> (8.22)</w:t>
            </w:r>
          </w:p>
        </w:tc>
        <w:tc>
          <w:tcPr>
            <w:tcW w:w="3324" w:type="dxa"/>
          </w:tcPr>
          <w:p w14:paraId="30CBBE13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PostgreSQL driver; TLS negotiation to the database</w:t>
            </w:r>
          </w:p>
        </w:tc>
        <w:tc>
          <w:tcPr>
            <w:tcW w:w="3324" w:type="dxa"/>
          </w:tcPr>
          <w:p w14:paraId="1347A0FE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NFR‑001, FR‑010</w:t>
            </w:r>
          </w:p>
        </w:tc>
      </w:tr>
      <w:tr w:rsidR="005B1A24" w14:paraId="0AF38B70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6B19C0B6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argon2</w:t>
            </w:r>
            <w:r>
              <w:rPr>
                <w:sz w:val="19"/>
              </w:rPr>
              <w:t xml:space="preserve"> (0.44)</w:t>
            </w:r>
          </w:p>
        </w:tc>
        <w:tc>
          <w:tcPr>
            <w:tcW w:w="3324" w:type="dxa"/>
            <w:shd w:val="clear" w:color="auto" w:fill="F2F5FA"/>
          </w:tcPr>
          <w:p w14:paraId="5602F708" w14:textId="77777777" w:rsidR="005B1A24" w:rsidRDefault="00000000">
            <w:pPr>
              <w:spacing w:before="40" w:after="40"/>
            </w:pPr>
            <w:r>
              <w:rPr>
                <w:b/>
                <w:sz w:val="19"/>
              </w:rPr>
              <w:t>Argon2id</w:t>
            </w:r>
            <w:r>
              <w:rPr>
                <w:sz w:val="19"/>
              </w:rPr>
              <w:t xml:space="preserve"> password hashing</w:t>
            </w:r>
          </w:p>
        </w:tc>
        <w:tc>
          <w:tcPr>
            <w:tcW w:w="3324" w:type="dxa"/>
            <w:shd w:val="clear" w:color="auto" w:fill="F2F5FA"/>
          </w:tcPr>
          <w:p w14:paraId="4ACBE3E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NFR‑001, NFR‑003</w:t>
            </w:r>
          </w:p>
        </w:tc>
      </w:tr>
      <w:tr w:rsidR="005B1A24" w14:paraId="5BB869B9" w14:textId="77777777">
        <w:trPr>
          <w:jc w:val="center"/>
        </w:trPr>
        <w:tc>
          <w:tcPr>
            <w:tcW w:w="3324" w:type="dxa"/>
          </w:tcPr>
          <w:p w14:paraId="3C38EBBB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@nestjs/jwt</w:t>
            </w:r>
            <w:r>
              <w:rPr>
                <w:sz w:val="19"/>
              </w:rPr>
              <w:t xml:space="preserve"> (11)</w:t>
            </w:r>
          </w:p>
        </w:tc>
        <w:tc>
          <w:tcPr>
            <w:tcW w:w="3324" w:type="dxa"/>
          </w:tcPr>
          <w:p w14:paraId="6EB82691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 xml:space="preserve">Stateless </w:t>
            </w:r>
            <w:r>
              <w:rPr>
                <w:b/>
                <w:sz w:val="19"/>
              </w:rPr>
              <w:t>JWT</w:t>
            </w:r>
            <w:r>
              <w:rPr>
                <w:sz w:val="19"/>
              </w:rPr>
              <w:t xml:space="preserve"> bearer tokens</w:t>
            </w:r>
          </w:p>
        </w:tc>
        <w:tc>
          <w:tcPr>
            <w:tcW w:w="3324" w:type="dxa"/>
          </w:tcPr>
          <w:p w14:paraId="29AC8D60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NFR‑003, NFR‑006</w:t>
            </w:r>
          </w:p>
        </w:tc>
      </w:tr>
      <w:tr w:rsidR="005B1A24" w14:paraId="4F226F10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4CBCD3D8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helmet</w:t>
            </w:r>
            <w:r>
              <w:rPr>
                <w:sz w:val="19"/>
              </w:rPr>
              <w:t xml:space="preserve"> (8)</w:t>
            </w:r>
          </w:p>
        </w:tc>
        <w:tc>
          <w:tcPr>
            <w:tcW w:w="3324" w:type="dxa"/>
            <w:shd w:val="clear" w:color="auto" w:fill="F2F5FA"/>
          </w:tcPr>
          <w:p w14:paraId="0317E60E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 xml:space="preserve">Secure HTTP headers incl. </w:t>
            </w:r>
            <w:r>
              <w:rPr>
                <w:b/>
                <w:sz w:val="19"/>
              </w:rPr>
              <w:t>HSTS</w:t>
            </w:r>
          </w:p>
        </w:tc>
        <w:tc>
          <w:tcPr>
            <w:tcW w:w="3324" w:type="dxa"/>
            <w:shd w:val="clear" w:color="auto" w:fill="F2F5FA"/>
          </w:tcPr>
          <w:p w14:paraId="46E15FB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NFR‑001, NFR‑009</w:t>
            </w:r>
          </w:p>
        </w:tc>
      </w:tr>
      <w:tr w:rsidR="005B1A24" w14:paraId="1072C31D" w14:textId="77777777">
        <w:trPr>
          <w:jc w:val="center"/>
        </w:trPr>
        <w:tc>
          <w:tcPr>
            <w:tcW w:w="3324" w:type="dxa"/>
          </w:tcPr>
          <w:p w14:paraId="770B9964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cookie-parser</w:t>
            </w:r>
            <w:r>
              <w:rPr>
                <w:sz w:val="19"/>
              </w:rPr>
              <w:t xml:space="preserve"> (1.4)</w:t>
            </w:r>
          </w:p>
        </w:tc>
        <w:tc>
          <w:tcPr>
            <w:tcW w:w="3324" w:type="dxa"/>
          </w:tcPr>
          <w:p w14:paraId="130896B4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httpOnly session‑cookie parsing; CSRF double‑submit</w:t>
            </w:r>
          </w:p>
        </w:tc>
        <w:tc>
          <w:tcPr>
            <w:tcW w:w="3324" w:type="dxa"/>
          </w:tcPr>
          <w:p w14:paraId="4B8A3727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NFR‑001, NFR‑003</w:t>
            </w:r>
          </w:p>
        </w:tc>
      </w:tr>
      <w:tr w:rsidR="005B1A24" w14:paraId="26278930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1DB3F140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@sinclair/typebox</w:t>
            </w:r>
            <w:r>
              <w:rPr>
                <w:sz w:val="19"/>
              </w:rPr>
              <w:t xml:space="preserve"> (0.33) · </w:t>
            </w:r>
            <w:r>
              <w:rPr>
                <w:rFonts w:ascii="Consolas" w:hAnsi="Consolas"/>
                <w:color w:val="9C2730"/>
                <w:sz w:val="18"/>
              </w:rPr>
              <w:t>ajv</w:t>
            </w:r>
            <w:r>
              <w:rPr>
                <w:sz w:val="19"/>
              </w:rPr>
              <w:t xml:space="preserve"> (8.17) · </w:t>
            </w:r>
            <w:r>
              <w:rPr>
                <w:rFonts w:ascii="Consolas" w:hAnsi="Consolas"/>
                <w:color w:val="9C2730"/>
                <w:sz w:val="18"/>
              </w:rPr>
              <w:t>ajv-formats</w:t>
            </w:r>
            <w:r>
              <w:rPr>
                <w:sz w:val="19"/>
              </w:rPr>
              <w:t xml:space="preserve"> (3)</w:t>
            </w:r>
          </w:p>
        </w:tc>
        <w:tc>
          <w:tcPr>
            <w:tcW w:w="3324" w:type="dxa"/>
            <w:shd w:val="clear" w:color="auto" w:fill="F2F5FA"/>
          </w:tcPr>
          <w:p w14:paraId="1B3AE331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 xml:space="preserve">Schema validation for </w:t>
            </w:r>
            <w:r>
              <w:rPr>
                <w:b/>
                <w:sz w:val="19"/>
              </w:rPr>
              <w:t>environment config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request bodies</w:t>
            </w:r>
            <w:r>
              <w:rPr>
                <w:sz w:val="19"/>
              </w:rPr>
              <w:t xml:space="preserve"> (fail‑closed)</w:t>
            </w:r>
          </w:p>
        </w:tc>
        <w:tc>
          <w:tcPr>
            <w:tcW w:w="3324" w:type="dxa"/>
            <w:shd w:val="clear" w:color="auto" w:fill="F2F5FA"/>
          </w:tcPr>
          <w:p w14:paraId="3D2A9875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NFR‑013, NFR‑001</w:t>
            </w:r>
          </w:p>
        </w:tc>
      </w:tr>
      <w:tr w:rsidR="005B1A24" w14:paraId="7EE2110A" w14:textId="77777777">
        <w:trPr>
          <w:jc w:val="center"/>
        </w:trPr>
        <w:tc>
          <w:tcPr>
            <w:tcW w:w="3324" w:type="dxa"/>
          </w:tcPr>
          <w:p w14:paraId="55C6B141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nestjs-pino</w:t>
            </w:r>
            <w:r>
              <w:rPr>
                <w:sz w:val="19"/>
              </w:rPr>
              <w:t xml:space="preserve"> (4.1) · </w:t>
            </w:r>
            <w:r>
              <w:rPr>
                <w:rFonts w:ascii="Consolas" w:hAnsi="Consolas"/>
                <w:color w:val="9C2730"/>
                <w:sz w:val="18"/>
              </w:rPr>
              <w:t>pino</w:t>
            </w:r>
            <w:r>
              <w:rPr>
                <w:sz w:val="19"/>
              </w:rPr>
              <w:t xml:space="preserve"> (9.5) · </w:t>
            </w:r>
            <w:r>
              <w:rPr>
                <w:rFonts w:ascii="Consolas" w:hAnsi="Consolas"/>
                <w:color w:val="9C2730"/>
                <w:sz w:val="18"/>
              </w:rPr>
              <w:t>pino-http</w:t>
            </w:r>
            <w:r>
              <w:rPr>
                <w:sz w:val="19"/>
              </w:rPr>
              <w:t xml:space="preserve"> (10.3)</w:t>
            </w:r>
          </w:p>
        </w:tc>
        <w:tc>
          <w:tcPr>
            <w:tcW w:w="3324" w:type="dxa"/>
          </w:tcPr>
          <w:p w14:paraId="428AFB02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Structured, request‑id‑correlated logging</w:t>
            </w:r>
          </w:p>
        </w:tc>
        <w:tc>
          <w:tcPr>
            <w:tcW w:w="3324" w:type="dxa"/>
          </w:tcPr>
          <w:p w14:paraId="68CC40E2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FR‑007, NFR‑004</w:t>
            </w:r>
          </w:p>
        </w:tc>
      </w:tr>
      <w:tr w:rsidR="005B1A24" w14:paraId="4AF1EFF5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41B49EE6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swagger-ui-express</w:t>
            </w:r>
            <w:r>
              <w:rPr>
                <w:sz w:val="19"/>
              </w:rPr>
              <w:t xml:space="preserve"> (5)</w:t>
            </w:r>
          </w:p>
        </w:tc>
        <w:tc>
          <w:tcPr>
            <w:tcW w:w="3324" w:type="dxa"/>
            <w:shd w:val="clear" w:color="auto" w:fill="F2F5FA"/>
          </w:tcPr>
          <w:p w14:paraId="4940B78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OpenAPI contract &amp; interactive docs</w:t>
            </w:r>
          </w:p>
        </w:tc>
        <w:tc>
          <w:tcPr>
            <w:tcW w:w="3324" w:type="dxa"/>
            <w:shd w:val="clear" w:color="auto" w:fill="F2F5FA"/>
          </w:tcPr>
          <w:p w14:paraId="52CE2F1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NFR‑013, NFR‑015</w:t>
            </w:r>
          </w:p>
        </w:tc>
      </w:tr>
      <w:tr w:rsidR="005B1A24" w14:paraId="21C9816C" w14:textId="77777777">
        <w:trPr>
          <w:jc w:val="center"/>
        </w:trPr>
        <w:tc>
          <w:tcPr>
            <w:tcW w:w="3324" w:type="dxa"/>
          </w:tcPr>
          <w:p w14:paraId="3E8F58FB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uuid</w:t>
            </w:r>
            <w:r>
              <w:rPr>
                <w:sz w:val="19"/>
              </w:rPr>
              <w:t xml:space="preserve"> (11) + PostgreSQL </w:t>
            </w:r>
            <w:r>
              <w:rPr>
                <w:rFonts w:ascii="Consolas" w:hAnsi="Consolas"/>
                <w:color w:val="9C2730"/>
                <w:sz w:val="18"/>
              </w:rPr>
              <w:t>uuidv7()</w:t>
            </w:r>
          </w:p>
        </w:tc>
        <w:tc>
          <w:tcPr>
            <w:tcW w:w="3324" w:type="dxa"/>
          </w:tcPr>
          <w:p w14:paraId="1C5559E5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 xml:space="preserve">Time‑ordered </w:t>
            </w:r>
            <w:r>
              <w:rPr>
                <w:b/>
                <w:sz w:val="19"/>
              </w:rPr>
              <w:t>UUIDv7</w:t>
            </w:r>
            <w:r>
              <w:rPr>
                <w:sz w:val="19"/>
              </w:rPr>
              <w:t xml:space="preserve"> primary keys</w:t>
            </w:r>
          </w:p>
        </w:tc>
        <w:tc>
          <w:tcPr>
            <w:tcW w:w="3324" w:type="dxa"/>
          </w:tcPr>
          <w:p w14:paraId="11666F53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FR‑010, NFR‑006</w:t>
            </w:r>
          </w:p>
        </w:tc>
      </w:tr>
      <w:tr w:rsidR="005B1A24" w14:paraId="3BA21446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4A76BD89" w14:textId="77777777" w:rsidR="005B1A24" w:rsidRDefault="00000000">
            <w:pPr>
              <w:spacing w:before="40" w:after="40"/>
            </w:pPr>
            <w:r>
              <w:rPr>
                <w:rFonts w:ascii="Consolas" w:hAnsi="Consolas"/>
                <w:color w:val="9C2730"/>
                <w:sz w:val="18"/>
              </w:rPr>
              <w:t>vitest</w:t>
            </w:r>
            <w:r>
              <w:rPr>
                <w:sz w:val="19"/>
              </w:rPr>
              <w:t xml:space="preserve"> (4) · </w:t>
            </w:r>
            <w:r>
              <w:rPr>
                <w:rFonts w:ascii="Consolas" w:hAnsi="Consolas"/>
                <w:color w:val="9C2730"/>
                <w:sz w:val="18"/>
              </w:rPr>
              <w:t>supertest</w:t>
            </w:r>
            <w:r>
              <w:rPr>
                <w:sz w:val="19"/>
              </w:rPr>
              <w:t xml:space="preserve"> (7)</w:t>
            </w:r>
          </w:p>
        </w:tc>
        <w:tc>
          <w:tcPr>
            <w:tcW w:w="3324" w:type="dxa"/>
            <w:shd w:val="clear" w:color="auto" w:fill="F2F5FA"/>
          </w:tcPr>
          <w:p w14:paraId="48521E8A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Unit + end‑to‑end tests against a real database</w:t>
            </w:r>
          </w:p>
        </w:tc>
        <w:tc>
          <w:tcPr>
            <w:tcW w:w="3324" w:type="dxa"/>
            <w:shd w:val="clear" w:color="auto" w:fill="F2F5FA"/>
          </w:tcPr>
          <w:p w14:paraId="116A71F2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NFR‑013, NFR‑015</w:t>
            </w:r>
          </w:p>
        </w:tc>
      </w:tr>
      <w:tr w:rsidR="005B1A24" w14:paraId="1B107A91" w14:textId="77777777">
        <w:trPr>
          <w:jc w:val="center"/>
        </w:trPr>
        <w:tc>
          <w:tcPr>
            <w:tcW w:w="3324" w:type="dxa"/>
          </w:tcPr>
          <w:p w14:paraId="53F0A695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Node 24 LTS · TypeScript 5 (</w:t>
            </w:r>
            <w:r>
              <w:rPr>
                <w:rFonts w:ascii="Consolas" w:hAnsi="Consolas"/>
                <w:color w:val="9C2730"/>
                <w:sz w:val="18"/>
              </w:rPr>
              <w:t>strict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30"/>
                <w:sz w:val="18"/>
              </w:rPr>
              <w:t>noUncheckedIndexedAccess</w:t>
            </w:r>
            <w:r>
              <w:rPr>
                <w:sz w:val="19"/>
              </w:rPr>
              <w:t xml:space="preserve">) · pnpm </w:t>
            </w:r>
            <w:r>
              <w:rPr>
                <w:sz w:val="19"/>
              </w:rPr>
              <w:lastRenderedPageBreak/>
              <w:t>· Docker Compose</w:t>
            </w:r>
          </w:p>
        </w:tc>
        <w:tc>
          <w:tcPr>
            <w:tcW w:w="3324" w:type="dxa"/>
          </w:tcPr>
          <w:p w14:paraId="52338436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Runtime, type‑safety, packaging</w:t>
            </w:r>
          </w:p>
        </w:tc>
        <w:tc>
          <w:tcPr>
            <w:tcW w:w="3324" w:type="dxa"/>
          </w:tcPr>
          <w:p w14:paraId="1D63DC8B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NFR‑013, NFR‑006</w:t>
            </w:r>
          </w:p>
        </w:tc>
      </w:tr>
      <w:tr w:rsidR="005B1A24" w14:paraId="72563474" w14:textId="77777777">
        <w:trPr>
          <w:jc w:val="center"/>
        </w:trPr>
        <w:tc>
          <w:tcPr>
            <w:tcW w:w="3324" w:type="dxa"/>
            <w:shd w:val="clear" w:color="auto" w:fill="F2F5FA"/>
          </w:tcPr>
          <w:p w14:paraId="623ADDBF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 xml:space="preserve">PostgreSQL 18 — </w:t>
            </w:r>
            <w:r>
              <w:rPr>
                <w:b/>
                <w:sz w:val="19"/>
              </w:rPr>
              <w:t>Row‑Level Security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30"/>
                <w:sz w:val="18"/>
              </w:rPr>
              <w:t>pgcrypto</w:t>
            </w:r>
            <w:r>
              <w:rPr>
                <w:sz w:val="19"/>
              </w:rPr>
              <w:t xml:space="preserve"> extension</w:t>
            </w:r>
          </w:p>
        </w:tc>
        <w:tc>
          <w:tcPr>
            <w:tcW w:w="3324" w:type="dxa"/>
            <w:shd w:val="clear" w:color="auto" w:fill="F2F5FA"/>
          </w:tcPr>
          <w:p w14:paraId="0759D6C3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Database‑enforced tenant isolation; column‑level crypto</w:t>
            </w:r>
          </w:p>
        </w:tc>
        <w:tc>
          <w:tcPr>
            <w:tcW w:w="3324" w:type="dxa"/>
            <w:shd w:val="clear" w:color="auto" w:fill="F2F5FA"/>
          </w:tcPr>
          <w:p w14:paraId="1C90994F" w14:textId="77777777" w:rsidR="005B1A24" w:rsidRDefault="00000000">
            <w:pPr>
              <w:spacing w:before="40" w:after="40"/>
            </w:pPr>
            <w:r>
              <w:rPr>
                <w:sz w:val="19"/>
              </w:rPr>
              <w:t>FR‑010, NFR‑003, NFR‑001</w:t>
            </w:r>
          </w:p>
        </w:tc>
      </w:tr>
    </w:tbl>
    <w:p w14:paraId="70272E4A" w14:textId="77777777" w:rsidR="005B1A24" w:rsidRDefault="005B1A24">
      <w:pPr>
        <w:spacing w:after="40"/>
      </w:pPr>
    </w:p>
    <w:p w14:paraId="2A27B94E" w14:textId="77777777" w:rsidR="005B1A24" w:rsidRDefault="005B1A24">
      <w:pPr>
        <w:pBdr>
          <w:bottom w:val="single" w:sz="6" w:space="4" w:color="C6D0E0"/>
        </w:pBdr>
        <w:spacing w:before="40" w:after="160"/>
      </w:pPr>
    </w:p>
    <w:p w14:paraId="50FCB8E1" w14:textId="77777777" w:rsidR="005B1A24" w:rsidRDefault="00000000">
      <w:pPr>
        <w:pBdr>
          <w:bottom w:val="single" w:sz="8" w:space="4" w:color="1F2D5A"/>
        </w:pBdr>
        <w:spacing w:before="240"/>
      </w:pPr>
      <w:r>
        <w:rPr>
          <w:b/>
          <w:color w:val="1F2D5A"/>
          <w:sz w:val="29"/>
        </w:rPr>
        <w:t>4. Requirement‑by‑requirement delivery</w:t>
      </w:r>
    </w:p>
    <w:p w14:paraId="0A4D7DE3" w14:textId="77777777" w:rsidR="005B1A24" w:rsidRDefault="00000000">
      <w:pPr>
        <w:pBdr>
          <w:left w:val="single" w:sz="18" w:space="8" w:color="0F6E5A"/>
        </w:pBdr>
        <w:spacing w:before="80"/>
        <w:ind w:left="283" w:right="170"/>
      </w:pPr>
      <w:r>
        <w:rPr>
          <w:i/>
          <w:color w:val="5A6478"/>
        </w:rPr>
        <w:t xml:space="preserve">The requirements form three natural clusters: </w:t>
      </w:r>
      <w:r>
        <w:rPr>
          <w:b/>
          <w:i/>
          <w:color w:val="5A6478"/>
        </w:rPr>
        <w:t>(A) Multi‑entity foundation &amp; access control</w:t>
      </w:r>
      <w:r>
        <w:rPr>
          <w:i/>
          <w:color w:val="5A6478"/>
        </w:rPr>
        <w:t xml:space="preserve">, </w:t>
      </w:r>
      <w:r>
        <w:rPr>
          <w:b/>
          <w:i/>
          <w:color w:val="5A6478"/>
        </w:rPr>
        <w:t>(B) Audit &amp; traceability</w:t>
      </w:r>
      <w:r>
        <w:rPr>
          <w:i/>
          <w:color w:val="5A6478"/>
        </w:rPr>
        <w:t xml:space="preserve">, and </w:t>
      </w:r>
      <w:r>
        <w:rPr>
          <w:b/>
          <w:i/>
          <w:color w:val="5A6478"/>
        </w:rPr>
        <w:t>(C) Cross‑cutting quality attributes.</w:t>
      </w:r>
      <w:r>
        <w:rPr>
          <w:i/>
          <w:color w:val="5A6478"/>
        </w:rPr>
        <w:t xml:space="preserve"> They are grouped that way below; every one of the 11 is covered.</w:t>
      </w:r>
    </w:p>
    <w:p w14:paraId="59E32164" w14:textId="77777777" w:rsidR="005B1A24" w:rsidRDefault="00000000">
      <w:pPr>
        <w:spacing w:before="200" w:after="80"/>
      </w:pPr>
      <w:r>
        <w:rPr>
          <w:b/>
          <w:color w:val="0F6E5A"/>
          <w:sz w:val="24"/>
        </w:rPr>
        <w:t>Cluster A — Multi‑entity foundation &amp; access control</w:t>
      </w:r>
    </w:p>
    <w:p w14:paraId="7984CE72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RIO‑FR‑010 — Multi‑Entity Foundation  ✅</w:t>
      </w:r>
    </w:p>
    <w:p w14:paraId="76F0D270" w14:textId="77777777" w:rsidR="005B1A24" w:rsidRDefault="00000000">
      <w:r>
        <w:rPr>
          <w:b/>
        </w:rPr>
        <w:t>Requirement:</w:t>
      </w:r>
      <w:r>
        <w:t xml:space="preserve"> Dedicated account per entity with isolated data; each entity manages its own studies with no cross‑entity access.</w:t>
      </w:r>
    </w:p>
    <w:p w14:paraId="0FC6099A" w14:textId="77777777" w:rsidR="005B1A24" w:rsidRDefault="00000000">
      <w:r>
        <w:rPr>
          <w:b/>
        </w:rPr>
        <w:t>How we handled it — isolation is enforced by the database.</w:t>
      </w:r>
      <w:r>
        <w:t xml:space="preserve"> Every tenant table (</w:t>
      </w:r>
      <w:r>
        <w:rPr>
          <w:rFonts w:ascii="Consolas" w:hAnsi="Consolas"/>
          <w:color w:val="9C2730"/>
          <w:sz w:val="18"/>
        </w:rPr>
        <w:t>organisations</w:t>
      </w:r>
      <w:r>
        <w:t xml:space="preserve">, </w:t>
      </w:r>
      <w:r>
        <w:rPr>
          <w:rFonts w:ascii="Consolas" w:hAnsi="Consolas"/>
          <w:color w:val="9C2730"/>
          <w:sz w:val="18"/>
        </w:rPr>
        <w:t>users</w:t>
      </w:r>
      <w:r>
        <w:t xml:space="preserve">, </w:t>
      </w:r>
      <w:r>
        <w:rPr>
          <w:rFonts w:ascii="Consolas" w:hAnsi="Consolas"/>
          <w:color w:val="9C2730"/>
          <w:sz w:val="18"/>
        </w:rPr>
        <w:t>consent_acceptances</w:t>
      </w:r>
      <w:r>
        <w:t xml:space="preserve">, </w:t>
      </w:r>
      <w:r>
        <w:rPr>
          <w:rFonts w:ascii="Consolas" w:hAnsi="Consolas"/>
          <w:color w:val="9C2730"/>
          <w:sz w:val="18"/>
        </w:rPr>
        <w:t>audit_logs</w:t>
      </w:r>
      <w:r>
        <w:t xml:space="preserve">) has </w:t>
      </w:r>
      <w:r>
        <w:rPr>
          <w:rFonts w:ascii="Consolas" w:hAnsi="Consolas"/>
          <w:color w:val="9C2730"/>
          <w:sz w:val="18"/>
        </w:rPr>
        <w:t>FORCE ROW LEVEL SECURITY</w:t>
      </w:r>
      <w:r>
        <w:t xml:space="preserve"> with a </w:t>
      </w:r>
      <w:r>
        <w:rPr>
          <w:b/>
        </w:rPr>
        <w:t>fail‑closed</w:t>
      </w:r>
      <w:r>
        <w:t xml:space="preserve"> policy: </w:t>
      </w:r>
      <w:r>
        <w:rPr>
          <w:rFonts w:ascii="Consolas" w:hAnsi="Consolas"/>
          <w:color w:val="9C2730"/>
          <w:sz w:val="18"/>
        </w:rPr>
        <w:t>org_id = NULLIF(current_setting('app.current_org_id', true), '')::uuid</w:t>
      </w:r>
      <w:r>
        <w:t xml:space="preserve">. If the tenant context is unset or empty, the query returns </w:t>
      </w:r>
      <w:r>
        <w:rPr>
          <w:b/>
        </w:rPr>
        <w:t>zero rows — never an error, never a leak.</w:t>
      </w:r>
      <w:r>
        <w:t xml:space="preserve"> The org id is set as a </w:t>
      </w:r>
      <w:r>
        <w:rPr>
          <w:b/>
        </w:rPr>
        <w:t>transaction‑local</w:t>
      </w:r>
      <w:r>
        <w:t xml:space="preserve"> variable inside a pinned Prisma transaction, so it cannot bleed across pooled connections. All data access is funnelled through a single </w:t>
      </w:r>
      <w:r>
        <w:rPr>
          <w:rFonts w:ascii="Consolas" w:hAnsi="Consolas"/>
          <w:color w:val="9C2730"/>
          <w:sz w:val="18"/>
        </w:rPr>
        <w:t>TenantPrismaService</w:t>
      </w:r>
      <w:r>
        <w:t xml:space="preserve"> (three explicit access paths: own‑org read/write, explicit‑org bootstrap, and supervisor cross‑org </w:t>
      </w:r>
      <w:r>
        <w:rPr>
          <w:b/>
        </w:rPr>
        <w:t>read‑only</w:t>
      </w:r>
      <w:r>
        <w:t>), so a query can never accidentally run without tenant scope.</w:t>
      </w:r>
    </w:p>
    <w:p w14:paraId="3B6B169D" w14:textId="77777777" w:rsidR="005B1A24" w:rsidRDefault="00000000">
      <w:r>
        <w:rPr>
          <w:b/>
        </w:rPr>
        <w:t>Packages / mechanism:</w:t>
      </w:r>
      <w:r>
        <w:t xml:space="preserve"> PostgreSQL RLS · Prisma 7 driver‑adapter · </w:t>
      </w:r>
      <w:r>
        <w:rPr>
          <w:rFonts w:ascii="Consolas" w:hAnsi="Consolas"/>
          <w:color w:val="9C2730"/>
          <w:sz w:val="18"/>
        </w:rPr>
        <w:t>pg</w:t>
      </w:r>
      <w:r>
        <w:t xml:space="preserve">. </w:t>
      </w:r>
      <w:r>
        <w:rPr>
          <w:b/>
        </w:rPr>
        <w:t>Standards:</w:t>
      </w:r>
      <w:r>
        <w:t xml:space="preserve"> ISO/IEC 25010 (security/reliability); least privilege (NIST SP 800‑53 AC‑6).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prisma/migrations/*_rls_domain/migration.sql</w:t>
      </w:r>
      <w:r>
        <w:t xml:space="preserve">; </w:t>
      </w:r>
      <w:r>
        <w:rPr>
          <w:rFonts w:ascii="Consolas" w:hAnsi="Consolas"/>
          <w:color w:val="9C2730"/>
          <w:sz w:val="18"/>
        </w:rPr>
        <w:t>src/tenancy/tenant-prisma.service.ts</w:t>
      </w:r>
      <w:r>
        <w:t xml:space="preserve">; e2e </w:t>
      </w:r>
      <w:r>
        <w:rPr>
          <w:rFonts w:ascii="Consolas" w:hAnsi="Consolas"/>
          <w:color w:val="9C2730"/>
          <w:sz w:val="18"/>
        </w:rPr>
        <w:t>test/tenant-isolation.e2e.spec.ts</w:t>
      </w:r>
      <w:r>
        <w:t xml:space="preserve"> proves an Org‑A caller cannot see Org‑B rows on the live </w:t>
      </w:r>
      <w:r>
        <w:rPr>
          <w:rFonts w:ascii="Consolas" w:hAnsi="Consolas"/>
          <w:color w:val="9C2730"/>
          <w:sz w:val="18"/>
        </w:rPr>
        <w:t>users</w:t>
      </w:r>
      <w:r>
        <w:t xml:space="preserve"> table (virgin + warm‑connection paths), plus cross‑org 403 tests.</w:t>
      </w:r>
    </w:p>
    <w:p w14:paraId="164F4B52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RIO‑RBAC‑001 — Roles &amp; Permissions  ✅</w:t>
      </w:r>
    </w:p>
    <w:p w14:paraId="7B094ACC" w14:textId="77777777" w:rsidR="005B1A24" w:rsidRDefault="00000000">
      <w:r>
        <w:rPr>
          <w:b/>
        </w:rPr>
        <w:t>Requirement:</w:t>
      </w:r>
      <w:r>
        <w:t xml:space="preserve"> Accounts, roles, and permissions with strict entity separation; unauthorised roles blocked; the backbone authorization model every feature checks against.</w:t>
      </w:r>
    </w:p>
    <w:p w14:paraId="2E87754A" w14:textId="77777777" w:rsidR="005B1A24" w:rsidRDefault="00000000">
      <w:r>
        <w:rPr>
          <w:b/>
        </w:rPr>
        <w:t>How we handled it — one source of truth, no drift.</w:t>
      </w:r>
      <w:r>
        <w:t xml:space="preserve"> A single matrix, </w:t>
      </w:r>
      <w:r>
        <w:rPr>
          <w:rFonts w:ascii="Consolas" w:hAnsi="Consolas"/>
          <w:color w:val="9C2730"/>
          <w:sz w:val="18"/>
        </w:rPr>
        <w:t>ROLE_MATRIX</w:t>
      </w:r>
      <w:r>
        <w:t xml:space="preserve"> (</w:t>
      </w:r>
      <w:r>
        <w:rPr>
          <w:b/>
        </w:rPr>
        <w:t>9 roles × 12 modules × 6 actions</w:t>
      </w:r>
      <w:r>
        <w:t xml:space="preserve"> — read/write/create/approve/export/share), is </w:t>
      </w:r>
      <w:r>
        <w:rPr>
          <w:b/>
        </w:rPr>
        <w:t>both seeded into the database</w:t>
      </w:r>
      <w:r>
        <w:t xml:space="preserve"> (</w:t>
      </w:r>
      <w:r>
        <w:rPr>
          <w:rFonts w:ascii="Consolas" w:hAnsi="Consolas"/>
          <w:color w:val="9C2730"/>
          <w:sz w:val="18"/>
        </w:rPr>
        <w:t>roles</w:t>
      </w:r>
      <w:r>
        <w:t xml:space="preserve"> / </w:t>
      </w:r>
      <w:r>
        <w:rPr>
          <w:rFonts w:ascii="Consolas" w:hAnsi="Consolas"/>
          <w:color w:val="9C2730"/>
          <w:sz w:val="18"/>
        </w:rPr>
        <w:t>role_permissions</w:t>
      </w:r>
      <w:r>
        <w:t xml:space="preserve">) </w:t>
      </w:r>
      <w:r>
        <w:rPr>
          <w:b/>
        </w:rPr>
        <w:t>and read in‑memory</w:t>
      </w:r>
      <w:r>
        <w:t xml:space="preserve"> by the authorization guard. Because enforcement and stored permissions come from the same source, they </w:t>
      </w:r>
      <w:r>
        <w:rPr>
          <w:b/>
        </w:rPr>
        <w:t>cannot diverge.</w:t>
      </w:r>
      <w:r>
        <w:t xml:space="preserve"> Roles are </w:t>
      </w:r>
      <w:r>
        <w:rPr>
          <w:b/>
        </w:rPr>
        <w:t>read‑only</w:t>
      </w:r>
      <w:r>
        <w:t xml:space="preserve"> (</w:t>
      </w:r>
      <w:r>
        <w:rPr>
          <w:rFonts w:ascii="Consolas" w:hAnsi="Consolas"/>
          <w:color w:val="9C2730"/>
          <w:sz w:val="18"/>
        </w:rPr>
        <w:t>GET /api/roles</w:t>
      </w:r>
      <w:r>
        <w:t xml:space="preserve">) — there is no in‑app role authoring, which removes a whole class of privilege‑configuration mistakes. A </w:t>
      </w:r>
      <w:r>
        <w:rPr>
          <w:b/>
        </w:rPr>
        <w:t>privilege‑escalation guard</w:t>
      </w:r>
      <w:r>
        <w:t xml:space="preserve"> ensures only a </w:t>
      </w:r>
      <w:r>
        <w:rPr>
          <w:rFonts w:ascii="Consolas" w:hAnsi="Consolas"/>
          <w:color w:val="9C2730"/>
          <w:sz w:val="18"/>
        </w:rPr>
        <w:t>crossEntity</w:t>
      </w:r>
      <w:r>
        <w:t xml:space="preserve"> caller can assign a </w:t>
      </w:r>
      <w:r>
        <w:rPr>
          <w:rFonts w:ascii="Consolas" w:hAnsi="Consolas"/>
          <w:color w:val="9C2730"/>
          <w:sz w:val="18"/>
        </w:rPr>
        <w:t>crossEntity</w:t>
      </w:r>
      <w:r>
        <w:t xml:space="preserve"> role, so a single‑entity admin cannot mint a platform‑wide account.</w:t>
      </w:r>
    </w:p>
    <w:p w14:paraId="1DAB510E" w14:textId="77777777" w:rsidR="005B1A24" w:rsidRDefault="00000000">
      <w:r>
        <w:rPr>
          <w:b/>
        </w:rPr>
        <w:t>Packages / mechanism:</w:t>
      </w:r>
      <w:r>
        <w:t xml:space="preserve"> NestJS guards + </w:t>
      </w:r>
      <w:r>
        <w:rPr>
          <w:rFonts w:ascii="Consolas" w:hAnsi="Consolas"/>
          <w:color w:val="9C2730"/>
          <w:sz w:val="18"/>
        </w:rPr>
        <w:t>Reflector</w:t>
      </w:r>
      <w:r>
        <w:t xml:space="preserve"> (</w:t>
      </w:r>
      <w:r>
        <w:rPr>
          <w:rFonts w:ascii="Consolas" w:hAnsi="Consolas"/>
          <w:color w:val="9C2730"/>
          <w:sz w:val="18"/>
        </w:rPr>
        <w:t>@RequirePermission(module, action)</w:t>
      </w:r>
      <w:r>
        <w:t xml:space="preserve"> decorator) · Prisma seed. </w:t>
      </w:r>
      <w:r>
        <w:rPr>
          <w:b/>
        </w:rPr>
        <w:t>Standards:</w:t>
      </w:r>
      <w:r>
        <w:t xml:space="preserve"> NIST RBAC / ANSI INCITS 359; OWASP ASVS (access control); least privilege.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src/rbac/role-matrix.ts</w:t>
      </w:r>
      <w:r>
        <w:t xml:space="preserve">, </w:t>
      </w:r>
      <w:r>
        <w:rPr>
          <w:rFonts w:ascii="Consolas" w:hAnsi="Consolas"/>
          <w:color w:val="9C2730"/>
          <w:sz w:val="18"/>
        </w:rPr>
        <w:t>src/common/guards/permission.guard.ts</w:t>
      </w:r>
      <w:r>
        <w:t xml:space="preserve">; </w:t>
      </w:r>
      <w:r>
        <w:rPr>
          <w:rFonts w:ascii="Consolas" w:hAnsi="Consolas"/>
          <w:color w:val="9C2730"/>
          <w:sz w:val="18"/>
        </w:rPr>
        <w:t>role-matrix.spec.ts</w:t>
      </w:r>
      <w:r>
        <w:t xml:space="preserve">, </w:t>
      </w:r>
      <w:r>
        <w:rPr>
          <w:rFonts w:ascii="Consolas" w:hAnsi="Consolas"/>
          <w:color w:val="9C2730"/>
          <w:sz w:val="18"/>
        </w:rPr>
        <w:t>permission.guard.spec.ts</w:t>
      </w:r>
      <w:r>
        <w:t xml:space="preserve">, </w:t>
      </w:r>
      <w:r>
        <w:rPr>
          <w:rFonts w:ascii="Consolas" w:hAnsi="Consolas"/>
          <w:color w:val="9C2730"/>
          <w:sz w:val="18"/>
        </w:rPr>
        <w:t>test/roles.e2e.spec.ts</w:t>
      </w:r>
      <w:r>
        <w:t>.</w:t>
      </w:r>
    </w:p>
    <w:p w14:paraId="50515044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RIO‑NFR‑003 — Access Control  ✅</w:t>
      </w:r>
    </w:p>
    <w:p w14:paraId="5A8113CC" w14:textId="77777777" w:rsidR="005B1A24" w:rsidRDefault="00000000">
      <w:r>
        <w:rPr>
          <w:b/>
        </w:rPr>
        <w:lastRenderedPageBreak/>
        <w:t>Requirement:</w:t>
      </w:r>
      <w:r>
        <w:t xml:space="preserve"> Define roles and enforce entity separation (wired in before data flows); cross‑entity access prevented; consent mechanism.</w:t>
      </w:r>
    </w:p>
    <w:p w14:paraId="24E163CF" w14:textId="77777777" w:rsidR="005B1A24" w:rsidRDefault="00000000">
      <w:r>
        <w:rPr>
          <w:b/>
        </w:rPr>
        <w:t>How we handled it — defence in depth, three enforced layers.</w:t>
      </w:r>
      <w:r>
        <w:t xml:space="preserve"> (1) </w:t>
      </w:r>
      <w:r>
        <w:rPr>
          <w:b/>
        </w:rPr>
        <w:t>Authentication:</w:t>
      </w:r>
      <w:r>
        <w:t xml:space="preserve"> a global </w:t>
      </w:r>
      <w:r>
        <w:rPr>
          <w:rFonts w:ascii="Consolas" w:hAnsi="Consolas"/>
          <w:color w:val="9C2730"/>
          <w:sz w:val="18"/>
        </w:rPr>
        <w:t>JwtAuthGuard</w:t>
      </w:r>
      <w:r>
        <w:t xml:space="preserve"> verifies the bearer token and populates the per‑request context. (2) </w:t>
      </w:r>
      <w:r>
        <w:rPr>
          <w:b/>
        </w:rPr>
        <w:t>Authorization:</w:t>
      </w:r>
      <w:r>
        <w:t xml:space="preserve"> the global </w:t>
      </w:r>
      <w:r>
        <w:rPr>
          <w:rFonts w:ascii="Consolas" w:hAnsi="Consolas"/>
          <w:color w:val="9C2730"/>
          <w:sz w:val="18"/>
        </w:rPr>
        <w:t>PermissionGuard</w:t>
      </w:r>
      <w:r>
        <w:t xml:space="preserve"> checks the required permission against the caller's role. (3) </w:t>
      </w:r>
      <w:r>
        <w:rPr>
          <w:b/>
        </w:rPr>
        <w:t>Isolation:</w:t>
      </w:r>
      <w:r>
        <w:t xml:space="preserve"> RLS at the database (FR‑010) is the final backstop. </w:t>
      </w:r>
      <w:r>
        <w:rPr>
          <w:b/>
        </w:rPr>
        <w:t>Consent</w:t>
      </w:r>
      <w:r>
        <w:t xml:space="preserve"> is captured per user: accepting the active policy writes an </w:t>
      </w:r>
      <w:r>
        <w:rPr>
          <w:b/>
        </w:rPr>
        <w:t>immutable snapshot</w:t>
      </w:r>
      <w:r>
        <w:t xml:space="preserve"> — both the version and the exact policy text at accept‑time — to </w:t>
      </w:r>
      <w:r>
        <w:rPr>
          <w:rFonts w:ascii="Consolas" w:hAnsi="Consolas"/>
          <w:color w:val="9C2730"/>
          <w:sz w:val="18"/>
        </w:rPr>
        <w:t>consent_acceptances</w:t>
      </w:r>
      <w:r>
        <w:t>. Onboarding is admin‑provisioned with per‑user consent; there is no public self‑signup surface.</w:t>
      </w:r>
    </w:p>
    <w:p w14:paraId="75BEC8D9" w14:textId="77777777" w:rsidR="005B1A24" w:rsidRDefault="00000000">
      <w:r>
        <w:rPr>
          <w:b/>
        </w:rPr>
        <w:t>Packages / mechanism:</w:t>
      </w:r>
      <w:r>
        <w:t xml:space="preserve"> </w:t>
      </w:r>
      <w:r>
        <w:rPr>
          <w:rFonts w:ascii="Consolas" w:hAnsi="Consolas"/>
          <w:color w:val="9C2730"/>
          <w:sz w:val="18"/>
        </w:rPr>
        <w:t>@nestjs/jwt</w:t>
      </w:r>
      <w:r>
        <w:t xml:space="preserve"> · </w:t>
      </w:r>
      <w:r>
        <w:rPr>
          <w:rFonts w:ascii="Consolas" w:hAnsi="Consolas"/>
          <w:color w:val="9C2730"/>
          <w:sz w:val="18"/>
        </w:rPr>
        <w:t>argon2</w:t>
      </w:r>
      <w:r>
        <w:t xml:space="preserve"> · NestJS guards · PostgreSQL RLS. </w:t>
      </w:r>
      <w:r>
        <w:rPr>
          <w:b/>
        </w:rPr>
        <w:t>Standards:</w:t>
      </w:r>
      <w:r>
        <w:t xml:space="preserve"> OWASP ASVS (authN/authZ); GDPR Art. 7 &amp; Art. 25 (consent, privacy by design).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permission.guard.ts</w:t>
      </w:r>
      <w:r>
        <w:t xml:space="preserve">, </w:t>
      </w:r>
      <w:r>
        <w:rPr>
          <w:rFonts w:ascii="Consolas" w:hAnsi="Consolas"/>
          <w:color w:val="9C2730"/>
          <w:sz w:val="18"/>
        </w:rPr>
        <w:t>jwt-auth.guard.ts</w:t>
      </w:r>
      <w:r>
        <w:t xml:space="preserve">, </w:t>
      </w:r>
      <w:r>
        <w:rPr>
          <w:rFonts w:ascii="Consolas" w:hAnsi="Consolas"/>
          <w:color w:val="9C2730"/>
          <w:sz w:val="18"/>
        </w:rPr>
        <w:t>auth.service.ts</w:t>
      </w:r>
      <w:r>
        <w:t xml:space="preserve"> (</w:t>
      </w:r>
      <w:r>
        <w:rPr>
          <w:rFonts w:ascii="Consolas" w:hAnsi="Consolas"/>
          <w:color w:val="9C2730"/>
          <w:sz w:val="18"/>
        </w:rPr>
        <w:t>consent()</w:t>
      </w:r>
      <w:r>
        <w:t xml:space="preserve">); </w:t>
      </w:r>
      <w:r>
        <w:rPr>
          <w:rFonts w:ascii="Consolas" w:hAnsi="Consolas"/>
          <w:color w:val="9C2730"/>
          <w:sz w:val="18"/>
        </w:rPr>
        <w:t>permission.guard.spec.ts</w:t>
      </w:r>
      <w:r>
        <w:t xml:space="preserve">, </w:t>
      </w:r>
      <w:r>
        <w:rPr>
          <w:rFonts w:ascii="Consolas" w:hAnsi="Consolas"/>
          <w:color w:val="9C2730"/>
          <w:sz w:val="18"/>
        </w:rPr>
        <w:t>jwt-auth.guard.spec.ts</w:t>
      </w:r>
      <w:r>
        <w:t xml:space="preserve">, </w:t>
      </w:r>
      <w:r>
        <w:rPr>
          <w:rFonts w:ascii="Consolas" w:hAnsi="Consolas"/>
          <w:color w:val="9C2730"/>
          <w:sz w:val="18"/>
        </w:rPr>
        <w:t>auth.service.spec.ts</w:t>
      </w:r>
      <w:r>
        <w:t xml:space="preserve">, </w:t>
      </w:r>
      <w:r>
        <w:rPr>
          <w:rFonts w:ascii="Consolas" w:hAnsi="Consolas"/>
          <w:color w:val="9C2730"/>
          <w:sz w:val="18"/>
        </w:rPr>
        <w:t>test/auth.e2e.spec.ts</w:t>
      </w:r>
      <w:r>
        <w:t>.</w:t>
      </w:r>
    </w:p>
    <w:p w14:paraId="332C2611" w14:textId="77777777" w:rsidR="005B1A24" w:rsidRDefault="00000000">
      <w:pPr>
        <w:spacing w:before="200" w:after="80"/>
      </w:pPr>
      <w:r>
        <w:rPr>
          <w:b/>
          <w:color w:val="0F6E5A"/>
          <w:sz w:val="24"/>
        </w:rPr>
        <w:t>Cluster B — Audit &amp; traceability</w:t>
      </w:r>
    </w:p>
    <w:p w14:paraId="3FBD301E" w14:textId="77777777" w:rsidR="005B1A24" w:rsidRDefault="00000000">
      <w:pPr>
        <w:pBdr>
          <w:left w:val="single" w:sz="18" w:space="8" w:color="0F6E5A"/>
        </w:pBdr>
        <w:spacing w:before="80"/>
        <w:ind w:left="283" w:right="170"/>
      </w:pPr>
      <w:r>
        <w:rPr>
          <w:i/>
          <w:color w:val="5A6478"/>
        </w:rPr>
        <w:t xml:space="preserve">Per the brief, </w:t>
      </w:r>
      <w:r>
        <w:rPr>
          <w:b/>
          <w:i/>
          <w:color w:val="5A6478"/>
        </w:rPr>
        <w:t>FR‑007 and FR‑Add‑03 were built together as one audit layer</w:t>
      </w:r>
      <w:r>
        <w:rPr>
          <w:i/>
          <w:color w:val="5A6478"/>
        </w:rPr>
        <w:t xml:space="preserve"> to avoid a second pass; </w:t>
      </w:r>
      <w:r>
        <w:rPr>
          <w:b/>
          <w:i/>
          <w:color w:val="5A6478"/>
        </w:rPr>
        <w:t>NFR‑004</w:t>
      </w:r>
      <w:r>
        <w:rPr>
          <w:i/>
          <w:color w:val="5A6478"/>
        </w:rPr>
        <w:t xml:space="preserve"> rides on the same layer.</w:t>
      </w:r>
    </w:p>
    <w:p w14:paraId="57EBD5D9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RIO‑FR‑007 — Audit Log  ✅</w:t>
      </w:r>
    </w:p>
    <w:p w14:paraId="0D77D5B4" w14:textId="77777777" w:rsidR="005B1A24" w:rsidRDefault="00000000">
      <w:r>
        <w:rPr>
          <w:b/>
        </w:rPr>
        <w:t>Requirement:</w:t>
      </w:r>
      <w:r>
        <w:t xml:space="preserve"> Immutable audit logging of key events (create / edit / approve / share) with actor and timestamp.</w:t>
      </w:r>
    </w:p>
    <w:p w14:paraId="494E1522" w14:textId="77777777" w:rsidR="005B1A24" w:rsidRDefault="00000000">
      <w:r>
        <w:rPr>
          <w:b/>
        </w:rPr>
        <w:t>How we handled it — immutability enforced by database privilege, not convention.</w:t>
      </w:r>
      <w:r>
        <w:t xml:space="preserve"> Every mutation calls </w:t>
      </w:r>
      <w:r>
        <w:rPr>
          <w:rFonts w:ascii="Consolas" w:hAnsi="Consolas"/>
          <w:color w:val="9C2730"/>
          <w:sz w:val="18"/>
        </w:rPr>
        <w:t>AuditService.record()</w:t>
      </w:r>
      <w:r>
        <w:t xml:space="preserve">, writing to the append‑only </w:t>
      </w:r>
      <w:r>
        <w:rPr>
          <w:rFonts w:ascii="Consolas" w:hAnsi="Consolas"/>
          <w:color w:val="9C2730"/>
          <w:sz w:val="18"/>
        </w:rPr>
        <w:t>audit_logs</w:t>
      </w:r>
      <w:r>
        <w:t xml:space="preserve"> table with the </w:t>
      </w:r>
      <w:r>
        <w:rPr>
          <w:b/>
        </w:rPr>
        <w:t>actor, action, entity type/id/label, timestamp, IP address, and user‑agent.</w:t>
      </w:r>
      <w:r>
        <w:t xml:space="preserve"> Immutability is guaranteed at the database: the application role </w:t>
      </w:r>
      <w:r>
        <w:rPr>
          <w:rFonts w:ascii="Consolas" w:hAnsi="Consolas"/>
          <w:color w:val="9C2730"/>
          <w:sz w:val="18"/>
        </w:rPr>
        <w:t>cnap_app</w:t>
      </w:r>
      <w:r>
        <w:t xml:space="preserve"> is granted </w:t>
      </w:r>
      <w:r>
        <w:rPr>
          <w:b/>
        </w:rPr>
        <w:t>SELECT + INSERT only</w:t>
      </w:r>
      <w:r>
        <w:t xml:space="preserve"> on </w:t>
      </w:r>
      <w:r>
        <w:rPr>
          <w:rFonts w:ascii="Consolas" w:hAnsi="Consolas"/>
          <w:color w:val="9C2730"/>
          <w:sz w:val="18"/>
        </w:rPr>
        <w:t>audit_logs</w:t>
      </w:r>
      <w:r>
        <w:t xml:space="preserve"> — </w:t>
      </w:r>
      <w:r>
        <w:rPr>
          <w:b/>
        </w:rPr>
        <w:t>no UPDATE or DELETE grant exists</w:t>
      </w:r>
      <w:r>
        <w:t xml:space="preserve"> anywhere. The </w:t>
      </w:r>
      <w:r>
        <w:rPr>
          <w:rFonts w:ascii="Consolas" w:hAnsi="Consolas"/>
          <w:color w:val="9C2730"/>
          <w:sz w:val="18"/>
        </w:rPr>
        <w:t>AuditAction</w:t>
      </w:r>
      <w:r>
        <w:t xml:space="preserve"> type already models </w:t>
      </w:r>
      <w:r>
        <w:rPr>
          <w:rFonts w:ascii="Consolas" w:hAnsi="Consolas"/>
          <w:color w:val="9C2730"/>
          <w:sz w:val="18"/>
        </w:rPr>
        <w:t>create · edit · approve · share · delete · login · logout</w:t>
      </w:r>
      <w:r>
        <w:t xml:space="preserve">; </w:t>
      </w:r>
      <w:r>
        <w:rPr>
          <w:rFonts w:ascii="Consolas" w:hAnsi="Consolas"/>
          <w:color w:val="9C2730"/>
          <w:sz w:val="18"/>
        </w:rPr>
        <w:t>create/edit/login/logout</w:t>
      </w:r>
      <w:r>
        <w:t xml:space="preserve"> emit today (org/user mutations, auth), and </w:t>
      </w:r>
      <w:r>
        <w:rPr>
          <w:rFonts w:ascii="Consolas" w:hAnsi="Consolas"/>
          <w:color w:val="9C2730"/>
          <w:sz w:val="18"/>
        </w:rPr>
        <w:t>approve/share</w:t>
      </w:r>
      <w:r>
        <w:t xml:space="preserve"> will emit automatically once the AI‑review and sharing features they describe are built.</w:t>
      </w:r>
    </w:p>
    <w:p w14:paraId="538DA2C6" w14:textId="77777777" w:rsidR="005B1A24" w:rsidRDefault="00000000">
      <w:r>
        <w:rPr>
          <w:b/>
        </w:rPr>
        <w:t>Packages / mechanism:</w:t>
      </w:r>
      <w:r>
        <w:t xml:space="preserve"> PostgreSQL table‑level GRANTs (append‑only) · Prisma · </w:t>
      </w:r>
      <w:r>
        <w:rPr>
          <w:rFonts w:ascii="Consolas" w:hAnsi="Consolas"/>
          <w:color w:val="9C2730"/>
          <w:sz w:val="18"/>
        </w:rPr>
        <w:t>pino</w:t>
      </w:r>
      <w:r>
        <w:t xml:space="preserve"> structured logs. </w:t>
      </w:r>
      <w:r>
        <w:rPr>
          <w:b/>
        </w:rPr>
        <w:t>Standards:</w:t>
      </w:r>
      <w:r>
        <w:t xml:space="preserve"> ISO/IEC 27001 A.12.4; NIST SP 800‑92; GDPR Art. 30 (records of processing).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src/modules/audit/audit.service.ts</w:t>
      </w:r>
      <w:r>
        <w:t xml:space="preserve">, </w:t>
      </w:r>
      <w:r>
        <w:rPr>
          <w:rFonts w:ascii="Consolas" w:hAnsi="Consolas"/>
          <w:color w:val="9C2730"/>
          <w:sz w:val="18"/>
        </w:rPr>
        <w:t>audit.types.ts</w:t>
      </w:r>
      <w:r>
        <w:t xml:space="preserve">, migration </w:t>
      </w:r>
      <w:r>
        <w:rPr>
          <w:rFonts w:ascii="Consolas" w:hAnsi="Consolas"/>
          <w:color w:val="9C2730"/>
          <w:sz w:val="18"/>
        </w:rPr>
        <w:t>rls_domain</w:t>
      </w:r>
      <w:r>
        <w:t xml:space="preserve">; </w:t>
      </w:r>
      <w:r>
        <w:rPr>
          <w:rFonts w:ascii="Consolas" w:hAnsi="Consolas"/>
          <w:color w:val="9C2730"/>
          <w:sz w:val="18"/>
        </w:rPr>
        <w:t>audit.service.spec.ts</w:t>
      </w:r>
      <w:r>
        <w:t xml:space="preserve">, </w:t>
      </w:r>
      <w:r>
        <w:rPr>
          <w:rFonts w:ascii="Consolas" w:hAnsi="Consolas"/>
          <w:color w:val="9C2730"/>
          <w:sz w:val="18"/>
        </w:rPr>
        <w:t>test/audit.e2e.spec.ts</w:t>
      </w:r>
      <w:r>
        <w:t xml:space="preserve"> asserts a </w:t>
      </w:r>
      <w:r>
        <w:rPr>
          <w:rFonts w:ascii="Consolas" w:hAnsi="Consolas"/>
          <w:color w:val="9C2730"/>
          <w:sz w:val="18"/>
        </w:rPr>
        <w:t>cnap_app</w:t>
      </w:r>
      <w:r>
        <w:t xml:space="preserve"> </w:t>
      </w:r>
      <w:r>
        <w:rPr>
          <w:rFonts w:ascii="Consolas" w:hAnsi="Consolas"/>
          <w:color w:val="9C2730"/>
          <w:sz w:val="18"/>
        </w:rPr>
        <w:t>UPDATE audit_logs</w:t>
      </w:r>
      <w:r>
        <w:t xml:space="preserve"> is denied.</w:t>
      </w:r>
    </w:p>
    <w:p w14:paraId="7BAA7592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RIO‑FR‑Add‑03 — Audit Extension  ✅</w:t>
      </w:r>
    </w:p>
    <w:p w14:paraId="556D549A" w14:textId="77777777" w:rsidR="005B1A24" w:rsidRDefault="00000000">
      <w:r>
        <w:rPr>
          <w:b/>
        </w:rPr>
        <w:t>Requirement:</w:t>
      </w:r>
      <w:r>
        <w:t xml:space="preserve"> Extend the audit log with system‑wide date/time stamping and </w:t>
      </w:r>
      <w:r>
        <w:rPr>
          <w:b/>
        </w:rPr>
        <w:t>before/after</w:t>
      </w:r>
      <w:r>
        <w:t xml:space="preserve"> values.</w:t>
      </w:r>
    </w:p>
    <w:p w14:paraId="5E538DCE" w14:textId="77777777" w:rsidR="005B1A24" w:rsidRDefault="00000000">
      <w:r>
        <w:rPr>
          <w:b/>
        </w:rPr>
        <w:t>How we handled it.</w:t>
      </w:r>
      <w:r>
        <w:t xml:space="preserve"> Built into the same audit layer. Each audited change carries a </w:t>
      </w:r>
      <w:r>
        <w:rPr>
          <w:rFonts w:ascii="Consolas" w:hAnsi="Consolas"/>
          <w:color w:val="9C2730"/>
          <w:sz w:val="18"/>
        </w:rPr>
        <w:t>changes[]</w:t>
      </w:r>
      <w:r>
        <w:t xml:space="preserve"> array of </w:t>
      </w:r>
      <w:r>
        <w:rPr>
          <w:rFonts w:ascii="Consolas" w:hAnsi="Consolas"/>
          <w:color w:val="9C2730"/>
          <w:sz w:val="18"/>
        </w:rPr>
        <w:t>{ field, before, after }</w:t>
      </w:r>
      <w:r>
        <w:t xml:space="preserve"> objects stored in the row's JSON metadata, and every row is date/time‑stamped (</w:t>
      </w:r>
      <w:r>
        <w:rPr>
          <w:rFonts w:ascii="Consolas" w:hAnsi="Consolas"/>
          <w:color w:val="9C2730"/>
          <w:sz w:val="18"/>
        </w:rPr>
        <w:t>created_at timestamptz</w:t>
      </w:r>
      <w:r>
        <w:t xml:space="preserve">, default </w:t>
      </w:r>
      <w:r>
        <w:rPr>
          <w:rFonts w:ascii="Consolas" w:hAnsi="Consolas"/>
          <w:color w:val="9C2730"/>
          <w:sz w:val="18"/>
        </w:rPr>
        <w:t>now()</w:t>
      </w:r>
      <w:r>
        <w:t xml:space="preserve">). Mutating services (organizations, users) compute the field‑level diff and pass it to </w:t>
      </w:r>
      <w:r>
        <w:rPr>
          <w:rFonts w:ascii="Consolas" w:hAnsi="Consolas"/>
          <w:color w:val="9C2730"/>
          <w:sz w:val="18"/>
        </w:rPr>
        <w:t>record()</w:t>
      </w:r>
      <w:r>
        <w:t xml:space="preserve">, so the trail shows not just </w:t>
      </w:r>
      <w:r>
        <w:rPr>
          <w:i/>
        </w:rPr>
        <w:t>that</w:t>
      </w:r>
      <w:r>
        <w:t xml:space="preserve"> something changed but </w:t>
      </w:r>
      <w:r>
        <w:rPr>
          <w:i/>
        </w:rPr>
        <w:t>what it changed from and to</w:t>
      </w:r>
      <w:r>
        <w:t>, and exactly when.</w:t>
      </w:r>
    </w:p>
    <w:p w14:paraId="46740D53" w14:textId="77777777" w:rsidR="005B1A24" w:rsidRDefault="00000000">
      <w:r>
        <w:rPr>
          <w:b/>
        </w:rPr>
        <w:t>Packages / mechanism:</w:t>
      </w:r>
      <w:r>
        <w:t xml:space="preserve"> PostgreSQL </w:t>
      </w:r>
      <w:r>
        <w:rPr>
          <w:rFonts w:ascii="Consolas" w:hAnsi="Consolas"/>
          <w:color w:val="9C2730"/>
          <w:sz w:val="18"/>
        </w:rPr>
        <w:t>jsonb</w:t>
      </w:r>
      <w:r>
        <w:t xml:space="preserve"> + </w:t>
      </w:r>
      <w:r>
        <w:rPr>
          <w:rFonts w:ascii="Consolas" w:hAnsi="Consolas"/>
          <w:color w:val="9C2730"/>
          <w:sz w:val="18"/>
        </w:rPr>
        <w:t>timestamptz</w:t>
      </w:r>
      <w:r>
        <w:t xml:space="preserve"> · Prisma. </w:t>
      </w:r>
      <w:r>
        <w:rPr>
          <w:b/>
        </w:rPr>
        <w:t>Standards:</w:t>
      </w:r>
      <w:r>
        <w:t xml:space="preserve"> ISO/IEC 27001 A.12.4 (traceable change history).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audit_logs.created_at</w:t>
      </w:r>
      <w:r>
        <w:t xml:space="preserve">; </w:t>
      </w:r>
      <w:r>
        <w:rPr>
          <w:rFonts w:ascii="Consolas" w:hAnsi="Consolas"/>
          <w:color w:val="9C2730"/>
          <w:sz w:val="18"/>
        </w:rPr>
        <w:t>record()</w:t>
      </w:r>
      <w:r>
        <w:t xml:space="preserve"> writes </w:t>
      </w:r>
      <w:r>
        <w:rPr>
          <w:rFonts w:ascii="Consolas" w:hAnsi="Consolas"/>
          <w:color w:val="9C2730"/>
          <w:sz w:val="18"/>
        </w:rPr>
        <w:t>metadata.changes</w:t>
      </w:r>
      <w:r>
        <w:t xml:space="preserve">; diff computation in </w:t>
      </w:r>
      <w:r>
        <w:rPr>
          <w:rFonts w:ascii="Consolas" w:hAnsi="Consolas"/>
          <w:color w:val="9C2730"/>
          <w:sz w:val="18"/>
        </w:rPr>
        <w:t>organizations.service.ts</w:t>
      </w:r>
      <w:r>
        <w:t xml:space="preserve"> / </w:t>
      </w:r>
      <w:r>
        <w:rPr>
          <w:rFonts w:ascii="Consolas" w:hAnsi="Consolas"/>
          <w:color w:val="9C2730"/>
          <w:sz w:val="18"/>
        </w:rPr>
        <w:t>users.service.ts</w:t>
      </w:r>
      <w:r>
        <w:t xml:space="preserve">; </w:t>
      </w:r>
      <w:r>
        <w:rPr>
          <w:rFonts w:ascii="Consolas" w:hAnsi="Consolas"/>
          <w:color w:val="9C2730"/>
          <w:sz w:val="18"/>
        </w:rPr>
        <w:t>audit.service.spec.ts</w:t>
      </w:r>
      <w:r>
        <w:t>, service specs assert the change computation.</w:t>
      </w:r>
    </w:p>
    <w:p w14:paraId="6D2FFBCC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RIO‑NFR‑004 — Auditability  🟡</w:t>
      </w:r>
    </w:p>
    <w:p w14:paraId="64DBA85C" w14:textId="77777777" w:rsidR="005B1A24" w:rsidRDefault="00000000">
      <w:r>
        <w:rPr>
          <w:b/>
        </w:rPr>
        <w:t>Requirement:</w:t>
      </w:r>
      <w:r>
        <w:t xml:space="preserve"> Decision traceability linking source, actor, and time; published decisions traceable.</w:t>
      </w:r>
    </w:p>
    <w:p w14:paraId="59D6B6F3" w14:textId="77777777" w:rsidR="005B1A24" w:rsidRDefault="00000000">
      <w:r>
        <w:rPr>
          <w:b/>
        </w:rPr>
        <w:lastRenderedPageBreak/>
        <w:t>How we handled it.</w:t>
      </w:r>
      <w:r>
        <w:t xml:space="preserve"> The traceability </w:t>
      </w:r>
      <w:r>
        <w:rPr>
          <w:b/>
        </w:rPr>
        <w:t>mechanism is complete</w:t>
      </w:r>
      <w:r>
        <w:t xml:space="preserve">: </w:t>
      </w:r>
      <w:r>
        <w:rPr>
          <w:rFonts w:ascii="Consolas" w:hAnsi="Consolas"/>
          <w:color w:val="9C2730"/>
          <w:sz w:val="18"/>
        </w:rPr>
        <w:t>GET /api/audit</w:t>
      </w:r>
      <w:r>
        <w:t xml:space="preserve"> filters by </w:t>
      </w:r>
      <w:r>
        <w:rPr>
          <w:rFonts w:ascii="Consolas" w:hAnsi="Consolas"/>
          <w:color w:val="9C2730"/>
          <w:sz w:val="18"/>
        </w:rPr>
        <w:t>entityType</w:t>
      </w:r>
      <w:r>
        <w:t xml:space="preserve">, </w:t>
      </w:r>
      <w:r>
        <w:rPr>
          <w:rFonts w:ascii="Consolas" w:hAnsi="Consolas"/>
          <w:color w:val="9C2730"/>
          <w:sz w:val="18"/>
        </w:rPr>
        <w:t>entityId</w:t>
      </w:r>
      <w:r>
        <w:t xml:space="preserve">, and </w:t>
      </w:r>
      <w:r>
        <w:rPr>
          <w:rFonts w:ascii="Consolas" w:hAnsi="Consolas"/>
          <w:color w:val="9C2730"/>
          <w:sz w:val="18"/>
        </w:rPr>
        <w:t>actorId</w:t>
      </w:r>
      <w:r>
        <w:t xml:space="preserve">, giving a queryable </w:t>
      </w:r>
      <w:r>
        <w:rPr>
          <w:b/>
        </w:rPr>
        <w:t>source → actor → time → before/after</w:t>
      </w:r>
      <w:r>
        <w:t xml:space="preserve"> chain for any entity. The remaining part is data, not code: there are no "published decisions" to trace until the AI‑decision/approval entities (a later feature) exist. When those features land, they audit through the same layer and become traceable with </w:t>
      </w:r>
      <w:r>
        <w:rPr>
          <w:b/>
        </w:rPr>
        <w:t>no additional plumbing.</w:t>
      </w:r>
    </w:p>
    <w:p w14:paraId="1D3566D7" w14:textId="77777777" w:rsidR="005B1A24" w:rsidRDefault="00000000">
      <w:r>
        <w:rPr>
          <w:b/>
        </w:rPr>
        <w:t>Packages / mechanism:</w:t>
      </w:r>
      <w:r>
        <w:t xml:space="preserve"> the shared audit layer (above). </w:t>
      </w:r>
      <w:r>
        <w:rPr>
          <w:b/>
        </w:rPr>
        <w:t>Standards:</w:t>
      </w:r>
      <w:r>
        <w:t xml:space="preserve"> ISO/IEC 27001 A.12.4; NIST SP 800‑92.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audit.service.ts</w:t>
      </w:r>
      <w:r>
        <w:t xml:space="preserve"> </w:t>
      </w:r>
      <w:r>
        <w:rPr>
          <w:rFonts w:ascii="Consolas" w:hAnsi="Consolas"/>
          <w:color w:val="9C2730"/>
          <w:sz w:val="18"/>
        </w:rPr>
        <w:t>list()</w:t>
      </w:r>
      <w:r>
        <w:t xml:space="preserve"> filters; </w:t>
      </w:r>
      <w:r>
        <w:rPr>
          <w:rFonts w:ascii="Consolas" w:hAnsi="Consolas"/>
          <w:color w:val="9C2730"/>
          <w:sz w:val="18"/>
        </w:rPr>
        <w:t>test/audit.e2e.spec.ts</w:t>
      </w:r>
      <w:r>
        <w:t xml:space="preserve"> ("trace a specific entity" filter test). </w:t>
      </w:r>
      <w:r>
        <w:rPr>
          <w:b/>
        </w:rPr>
        <w:t>Remaining:</w:t>
      </w:r>
      <w:r>
        <w:t xml:space="preserve"> emit </w:t>
      </w:r>
      <w:r>
        <w:rPr>
          <w:rFonts w:ascii="Consolas" w:hAnsi="Consolas"/>
          <w:color w:val="9C2730"/>
          <w:sz w:val="18"/>
        </w:rPr>
        <w:t>approve</w:t>
      </w:r>
      <w:r>
        <w:t>/</w:t>
      </w:r>
      <w:r>
        <w:rPr>
          <w:rFonts w:ascii="Consolas" w:hAnsi="Consolas"/>
          <w:color w:val="9C2730"/>
          <w:sz w:val="18"/>
        </w:rPr>
        <w:t>share</w:t>
      </w:r>
      <w:r>
        <w:t xml:space="preserve"> events and add the AI‑decision entity when those features are built.</w:t>
      </w:r>
    </w:p>
    <w:p w14:paraId="24B7026D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RIO‑NFR‑015 — Traceability  ✅</w:t>
      </w:r>
    </w:p>
    <w:p w14:paraId="1BE4CB8B" w14:textId="77777777" w:rsidR="005B1A24" w:rsidRDefault="00000000">
      <w:r>
        <w:rPr>
          <w:b/>
        </w:rPr>
        <w:t>Requirement:</w:t>
      </w:r>
      <w:r>
        <w:t xml:space="preserve"> Link each requirement/output to its source; maintain a traceability matrix.</w:t>
      </w:r>
    </w:p>
    <w:p w14:paraId="336152F6" w14:textId="77777777" w:rsidR="005B1A24" w:rsidRDefault="00000000">
      <w:r>
        <w:rPr>
          <w:b/>
        </w:rPr>
        <w:t>How we handled it.</w:t>
      </w:r>
      <w:r>
        <w:t xml:space="preserve"> A living </w:t>
      </w:r>
      <w:r>
        <w:rPr>
          <w:b/>
        </w:rPr>
        <w:t>Requirements Traceability Matrix</w:t>
      </w:r>
      <w:r>
        <w:t xml:space="preserve"> (</w:t>
      </w:r>
      <w:r>
        <w:rPr>
          <w:rFonts w:ascii="Consolas" w:hAnsi="Consolas"/>
          <w:color w:val="9C2730"/>
          <w:sz w:val="18"/>
        </w:rPr>
        <w:t>docs/traceability-matrix.md</w:t>
      </w:r>
      <w:r>
        <w:t xml:space="preserve">) maps every requirement to its </w:t>
      </w:r>
      <w:r>
        <w:rPr>
          <w:b/>
        </w:rPr>
        <w:t>source spec → design → implementation (code) → verifying test → status.</w:t>
      </w:r>
      <w:r>
        <w:t xml:space="preserve"> It complements the </w:t>
      </w:r>
      <w:r>
        <w:rPr>
          <w:i/>
        </w:rPr>
        <w:t>runtime</w:t>
      </w:r>
      <w:r>
        <w:t xml:space="preserve"> traceability of the audit trail (NFR‑004): the matrix traces </w:t>
      </w:r>
      <w:r>
        <w:rPr>
          <w:i/>
        </w:rPr>
        <w:t>requirements to code</w:t>
      </w:r>
      <w:r>
        <w:t xml:space="preserve">, the audit log traces </w:t>
      </w:r>
      <w:r>
        <w:rPr>
          <w:i/>
        </w:rPr>
        <w:t>records to actors</w:t>
      </w:r>
      <w:r>
        <w:t>. The rule of maintenance is that every matrix row must point at a test that runs in the automated suite.</w:t>
      </w:r>
    </w:p>
    <w:p w14:paraId="37B87B70" w14:textId="77777777" w:rsidR="005B1A24" w:rsidRDefault="00000000">
      <w:r>
        <w:rPr>
          <w:b/>
        </w:rPr>
        <w:t>Packages / mechanism:</w:t>
      </w:r>
      <w:r>
        <w:t xml:space="preserve"> documentation deliverable + OpenAPI contract (</w:t>
      </w:r>
      <w:r>
        <w:rPr>
          <w:rFonts w:ascii="Consolas" w:hAnsi="Consolas"/>
          <w:color w:val="9C2730"/>
          <w:sz w:val="18"/>
        </w:rPr>
        <w:t>swagger-ui-express</w:t>
      </w:r>
      <w:r>
        <w:t xml:space="preserve">). </w:t>
      </w:r>
      <w:r>
        <w:rPr>
          <w:b/>
        </w:rPr>
        <w:t>Standards:</w:t>
      </w:r>
      <w:r>
        <w:t xml:space="preserve"> ISO/IEC/IEEE 29148 (requirements traceability).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docs/traceability-matrix.md</w:t>
      </w:r>
      <w:r>
        <w:t xml:space="preserve">, reviewed against </w:t>
      </w:r>
      <w:r>
        <w:rPr>
          <w:rFonts w:ascii="Consolas" w:hAnsi="Consolas"/>
          <w:color w:val="9C2730"/>
          <w:sz w:val="18"/>
        </w:rPr>
        <w:t>pnpm test</w:t>
      </w:r>
      <w:r>
        <w:t xml:space="preserve"> at each update.</w:t>
      </w:r>
    </w:p>
    <w:p w14:paraId="3B6449E2" w14:textId="77777777" w:rsidR="005B1A24" w:rsidRDefault="00000000">
      <w:pPr>
        <w:spacing w:before="200" w:after="80"/>
      </w:pPr>
      <w:r>
        <w:rPr>
          <w:b/>
          <w:color w:val="0F6E5A"/>
          <w:sz w:val="24"/>
        </w:rPr>
        <w:t>Cluster C — Cross‑cutting quality attributes</w:t>
      </w:r>
    </w:p>
    <w:p w14:paraId="117346E9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RIO‑NFR‑001 — Security (Encryption)  ✅</w:t>
      </w:r>
    </w:p>
    <w:p w14:paraId="0E740A07" w14:textId="77777777" w:rsidR="005B1A24" w:rsidRDefault="00000000">
      <w:r>
        <w:rPr>
          <w:b/>
        </w:rPr>
        <w:t>Requirement:</w:t>
      </w:r>
      <w:r>
        <w:t xml:space="preserve"> Encrypt data in transit and at rest; access only to authorised users.</w:t>
      </w:r>
    </w:p>
    <w:p w14:paraId="14B1568F" w14:textId="77777777" w:rsidR="005B1A24" w:rsidRDefault="00000000">
      <w:r>
        <w:rPr>
          <w:b/>
        </w:rPr>
        <w:t>How we handled it.</w:t>
      </w:r>
    </w:p>
    <w:p w14:paraId="72525F46" w14:textId="77777777" w:rsidR="005B1A24" w:rsidRDefault="00000000">
      <w:pPr>
        <w:pStyle w:val="ListBullet"/>
        <w:spacing w:after="60"/>
      </w:pPr>
      <w:r>
        <w:rPr>
          <w:b/>
        </w:rPr>
        <w:t>In transit (client → app):</w:t>
      </w:r>
      <w:r>
        <w:t xml:space="preserve"> the API serves </w:t>
      </w:r>
      <w:r>
        <w:rPr>
          <w:b/>
        </w:rPr>
        <w:t>HTTPS</w:t>
      </w:r>
      <w:r>
        <w:t xml:space="preserve"> directly when a certificate/key are configured, with </w:t>
      </w:r>
      <w:r>
        <w:rPr>
          <w:b/>
        </w:rPr>
        <w:t>HSTS</w:t>
      </w:r>
      <w:r>
        <w:t xml:space="preserve"> (</w:t>
      </w:r>
      <w:r>
        <w:rPr>
          <w:rFonts w:ascii="Consolas" w:hAnsi="Consolas"/>
          <w:color w:val="9C2730"/>
          <w:sz w:val="18"/>
        </w:rPr>
        <w:t>helmet</w:t>
      </w:r>
      <w:r>
        <w:t xml:space="preserve">, 180‑day max‑age, </w:t>
      </w:r>
      <w:r>
        <w:rPr>
          <w:rFonts w:ascii="Consolas" w:hAnsi="Consolas"/>
          <w:color w:val="9C2730"/>
          <w:sz w:val="18"/>
        </w:rPr>
        <w:t>includeSubDomains</w:t>
      </w:r>
      <w:r>
        <w:t>); otherwise it runs HTTP behind a TLS‑terminating ingress/proxy.</w:t>
      </w:r>
    </w:p>
    <w:p w14:paraId="5D1DEA87" w14:textId="77777777" w:rsidR="005B1A24" w:rsidRDefault="00000000">
      <w:pPr>
        <w:pStyle w:val="ListBullet"/>
        <w:spacing w:after="60"/>
      </w:pPr>
      <w:r>
        <w:rPr>
          <w:b/>
        </w:rPr>
        <w:t>In transit (app → database):</w:t>
      </w:r>
      <w:r>
        <w:t xml:space="preserve"> the connection to PostgreSQL runs over </w:t>
      </w:r>
      <w:r>
        <w:rPr>
          <w:b/>
        </w:rPr>
        <w:t>TLS 1.3</w:t>
      </w:r>
      <w:r>
        <w:t xml:space="preserve">, with the ability to </w:t>
      </w:r>
      <w:r>
        <w:rPr>
          <w:i/>
        </w:rPr>
        <w:t>authenticate</w:t>
      </w:r>
      <w:r>
        <w:t xml:space="preserve"> the server certificate (</w:t>
      </w:r>
      <w:r>
        <w:rPr>
          <w:rFonts w:ascii="Consolas" w:hAnsi="Consolas"/>
          <w:color w:val="9C2730"/>
          <w:sz w:val="18"/>
        </w:rPr>
        <w:t>DB_SSL_REJECT_UNAUTHORIZED</w:t>
      </w:r>
      <w:r>
        <w:t xml:space="preserve"> + trusted CA), not merely encrypt.</w:t>
      </w:r>
    </w:p>
    <w:p w14:paraId="5FBB1EAC" w14:textId="77777777" w:rsidR="005B1A24" w:rsidRDefault="00000000">
      <w:pPr>
        <w:pStyle w:val="ListBullet"/>
        <w:spacing w:after="60"/>
      </w:pPr>
      <w:r>
        <w:rPr>
          <w:b/>
        </w:rPr>
        <w:t>At rest:</w:t>
      </w:r>
      <w:r>
        <w:t xml:space="preserve"> the </w:t>
      </w:r>
      <w:r>
        <w:rPr>
          <w:rFonts w:ascii="Consolas" w:hAnsi="Consolas"/>
          <w:color w:val="9C2730"/>
          <w:sz w:val="18"/>
        </w:rPr>
        <w:t>pgcrypto</w:t>
      </w:r>
      <w:r>
        <w:t xml:space="preserve"> extension is enabled for column‑level encryption of any ultra‑sensitive field; bulk at‑rest protection is delegated to </w:t>
      </w:r>
      <w:r>
        <w:rPr>
          <w:b/>
        </w:rPr>
        <w:t>encrypted storage volumes</w:t>
      </w:r>
      <w:r>
        <w:t xml:space="preserve"> at the deployment layer (the standard boundary — no application code encrypts the data files).</w:t>
      </w:r>
    </w:p>
    <w:p w14:paraId="2894A053" w14:textId="77777777" w:rsidR="005B1A24" w:rsidRDefault="00000000">
      <w:pPr>
        <w:pStyle w:val="ListBullet"/>
        <w:spacing w:after="60"/>
      </w:pPr>
      <w:r>
        <w:rPr>
          <w:b/>
        </w:rPr>
        <w:t>Access:</w:t>
      </w:r>
      <w:r>
        <w:t xml:space="preserve"> RBAC + RLS + JWT (above); passwords </w:t>
      </w:r>
      <w:r>
        <w:rPr>
          <w:b/>
        </w:rPr>
        <w:t>Argon2id</w:t>
      </w:r>
      <w:r>
        <w:t>‑hashed; login is timing‑equalised and rate‑limited by account lockout.</w:t>
      </w:r>
    </w:p>
    <w:p w14:paraId="68D762F2" w14:textId="77777777" w:rsidR="005B1A24" w:rsidRDefault="00000000">
      <w:r>
        <w:rPr>
          <w:b/>
        </w:rPr>
        <w:t>Packages / mechanism:</w:t>
      </w:r>
      <w:r>
        <w:t xml:space="preserve"> </w:t>
      </w:r>
      <w:r>
        <w:rPr>
          <w:rFonts w:ascii="Consolas" w:hAnsi="Consolas"/>
          <w:color w:val="9C2730"/>
          <w:sz w:val="18"/>
        </w:rPr>
        <w:t>helmet</w:t>
      </w:r>
      <w:r>
        <w:t xml:space="preserve"> (HSTS) · Node TLS + </w:t>
      </w:r>
      <w:r>
        <w:rPr>
          <w:rFonts w:ascii="Consolas" w:hAnsi="Consolas"/>
          <w:color w:val="9C2730"/>
          <w:sz w:val="18"/>
        </w:rPr>
        <w:t>pg</w:t>
      </w:r>
      <w:r>
        <w:t xml:space="preserve"> SSL · </w:t>
      </w:r>
      <w:r>
        <w:rPr>
          <w:rFonts w:ascii="Consolas" w:hAnsi="Consolas"/>
          <w:color w:val="9C2730"/>
          <w:sz w:val="18"/>
        </w:rPr>
        <w:t>argon2</w:t>
      </w:r>
      <w:r>
        <w:t xml:space="preserve"> · PostgreSQL </w:t>
      </w:r>
      <w:r>
        <w:rPr>
          <w:rFonts w:ascii="Consolas" w:hAnsi="Consolas"/>
          <w:color w:val="9C2730"/>
          <w:sz w:val="18"/>
        </w:rPr>
        <w:t>pgcrypto</w:t>
      </w:r>
      <w:r>
        <w:t xml:space="preserve">. </w:t>
      </w:r>
      <w:r>
        <w:rPr>
          <w:b/>
        </w:rPr>
        <w:t>Standards:</w:t>
      </w:r>
      <w:r>
        <w:t xml:space="preserve"> TLS 1.3 (RFC 8446); HSTS (RFC 6797); Argon2id (RFC 9106); OWASP Password Storage; OWASP ASVS (cryptography).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src/config/https-options.ts</w:t>
      </w:r>
      <w:r>
        <w:t xml:space="preserve">, </w:t>
      </w:r>
      <w:r>
        <w:rPr>
          <w:rFonts w:ascii="Consolas" w:hAnsi="Consolas"/>
          <w:color w:val="9C2730"/>
          <w:sz w:val="18"/>
        </w:rPr>
        <w:t>src/main.ts</w:t>
      </w:r>
      <w:r>
        <w:t xml:space="preserve"> (HSTS), </w:t>
      </w:r>
      <w:r>
        <w:rPr>
          <w:rFonts w:ascii="Consolas" w:hAnsi="Consolas"/>
          <w:color w:val="9C2730"/>
          <w:sz w:val="18"/>
        </w:rPr>
        <w:t>src/prisma/pg-ssl.ts</w:t>
      </w:r>
      <w:r>
        <w:t xml:space="preserve">, </w:t>
      </w:r>
      <w:r>
        <w:rPr>
          <w:rFonts w:ascii="Consolas" w:hAnsi="Consolas"/>
          <w:color w:val="9C2730"/>
          <w:sz w:val="18"/>
        </w:rPr>
        <w:t>db/Dockerfile</w:t>
      </w:r>
      <w:r>
        <w:t xml:space="preserve"> (</w:t>
      </w:r>
      <w:r>
        <w:rPr>
          <w:rFonts w:ascii="Consolas" w:hAnsi="Consolas"/>
          <w:color w:val="9C2730"/>
          <w:sz w:val="18"/>
        </w:rPr>
        <w:t>ssl=on</w:t>
      </w:r>
      <w:r>
        <w:t xml:space="preserve">), </w:t>
      </w:r>
      <w:r>
        <w:rPr>
          <w:rFonts w:ascii="Consolas" w:hAnsi="Consolas"/>
          <w:color w:val="9C2730"/>
          <w:sz w:val="18"/>
        </w:rPr>
        <w:t>*_at_rest_pgcrypto</w:t>
      </w:r>
      <w:r>
        <w:t xml:space="preserve"> migration; </w:t>
      </w:r>
      <w:r>
        <w:rPr>
          <w:rFonts w:ascii="Consolas" w:hAnsi="Consolas"/>
          <w:color w:val="9C2730"/>
          <w:sz w:val="18"/>
        </w:rPr>
        <w:t>https-options.spec.ts</w:t>
      </w:r>
      <w:r>
        <w:t xml:space="preserve">; DB TLS proven via </w:t>
      </w:r>
      <w:r>
        <w:rPr>
          <w:rFonts w:ascii="Consolas" w:hAnsi="Consolas"/>
          <w:color w:val="9C2730"/>
          <w:sz w:val="18"/>
        </w:rPr>
        <w:t>pg_stat_ssl</w:t>
      </w:r>
      <w:r>
        <w:t xml:space="preserve"> (TLSv1.3) with the suite run under </w:t>
      </w:r>
      <w:r>
        <w:rPr>
          <w:rFonts w:ascii="Consolas" w:hAnsi="Consolas"/>
          <w:color w:val="9C2730"/>
          <w:sz w:val="18"/>
        </w:rPr>
        <w:t>DB_SSL=true</w:t>
      </w:r>
      <w:r>
        <w:t xml:space="preserve">. </w:t>
      </w:r>
      <w:r>
        <w:rPr>
          <w:b/>
        </w:rPr>
        <w:t>Production hardening (operational, not a code gap):</w:t>
      </w:r>
      <w:r>
        <w:t xml:space="preserve"> replace the self‑signed dev certificate with a CA‑signed one, set </w:t>
      </w:r>
      <w:r>
        <w:rPr>
          <w:rFonts w:ascii="Consolas" w:hAnsi="Consolas"/>
          <w:color w:val="9C2730"/>
          <w:sz w:val="18"/>
        </w:rPr>
        <w:t>DB_SSL_REJECT_UNAUTHORIZED=true</w:t>
      </w:r>
      <w:r>
        <w:t>, rotate secrets per environment, and enable encrypted storage volumes.</w:t>
      </w:r>
    </w:p>
    <w:p w14:paraId="29FBD31B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RIO‑NFR‑006 — Scalability  🟡</w:t>
      </w:r>
    </w:p>
    <w:p w14:paraId="3CDE6995" w14:textId="77777777" w:rsidR="005B1A24" w:rsidRDefault="00000000">
      <w:r>
        <w:rPr>
          <w:b/>
        </w:rPr>
        <w:t>Requirement:</w:t>
      </w:r>
      <w:r>
        <w:t xml:space="preserve"> Architect for growth (more entities / studies / villages) without a rebuild.</w:t>
      </w:r>
    </w:p>
    <w:p w14:paraId="3B854A80" w14:textId="77777777" w:rsidR="005B1A24" w:rsidRDefault="00000000">
      <w:r>
        <w:rPr>
          <w:b/>
        </w:rPr>
        <w:t>How we handled it — scale designed in, not bolted on.</w:t>
      </w:r>
      <w:r>
        <w:t xml:space="preserve"> (1) </w:t>
      </w:r>
      <w:r>
        <w:rPr>
          <w:b/>
        </w:rPr>
        <w:t>Stateless authentication</w:t>
      </w:r>
      <w:r>
        <w:t xml:space="preserve"> (JWT, no server session store) means the API can be horizontally scaled behind a load balancer without sticky sessions. (2) </w:t>
      </w:r>
      <w:r>
        <w:rPr>
          <w:b/>
        </w:rPr>
        <w:t>Row‑per‑entity multitenancy</w:t>
      </w:r>
      <w:r>
        <w:t xml:space="preserve"> — adding a new entity or village needs </w:t>
      </w:r>
      <w:r>
        <w:rPr>
          <w:b/>
        </w:rPr>
        <w:t>no schema change</w:t>
      </w:r>
      <w:r>
        <w:t xml:space="preserve"> (villages are a </w:t>
      </w:r>
      <w:r>
        <w:rPr>
          <w:rFonts w:ascii="Consolas" w:hAnsi="Consolas"/>
          <w:color w:val="9C2730"/>
          <w:sz w:val="18"/>
        </w:rPr>
        <w:t>text[]</w:t>
      </w:r>
      <w:r>
        <w:t xml:space="preserve"> on the org row). (3) </w:t>
      </w:r>
      <w:r>
        <w:rPr>
          <w:b/>
        </w:rPr>
        <w:lastRenderedPageBreak/>
        <w:t>Bounded pagination</w:t>
      </w:r>
      <w:r>
        <w:t xml:space="preserve"> on every list endpoint (default page size, hard cap 200) prevents unbounded queries. (4) </w:t>
      </w:r>
      <w:r>
        <w:rPr>
          <w:b/>
        </w:rPr>
        <w:t>Indexed</w:t>
      </w:r>
      <w:r>
        <w:t xml:space="preserve"> foreign‑key and lookup columns, and </w:t>
      </w:r>
      <w:r>
        <w:rPr>
          <w:b/>
        </w:rPr>
        <w:t>time‑ordered UUIDv7</w:t>
      </w:r>
      <w:r>
        <w:t xml:space="preserve"> keys that keep index locality as data grows.</w:t>
      </w:r>
    </w:p>
    <w:p w14:paraId="0387F462" w14:textId="77777777" w:rsidR="005B1A24" w:rsidRDefault="00000000">
      <w:r>
        <w:rPr>
          <w:b/>
        </w:rPr>
        <w:t>Packages / mechanism:</w:t>
      </w:r>
      <w:r>
        <w:t xml:space="preserve"> </w:t>
      </w:r>
      <w:r>
        <w:rPr>
          <w:rFonts w:ascii="Consolas" w:hAnsi="Consolas"/>
          <w:color w:val="9C2730"/>
          <w:sz w:val="18"/>
        </w:rPr>
        <w:t>@nestjs/jwt</w:t>
      </w:r>
      <w:r>
        <w:t xml:space="preserve"> (stateless) · Prisma indexes · UUIDv7. </w:t>
      </w:r>
      <w:r>
        <w:rPr>
          <w:b/>
        </w:rPr>
        <w:t>Standards:</w:t>
      </w:r>
      <w:r>
        <w:t xml:space="preserve"> Twelve‑Factor App (stateless processes, horizontal scale); ISO/IEC 25010 (performance efficiency). </w:t>
      </w:r>
      <w:r>
        <w:rPr>
          <w:b/>
        </w:rPr>
        <w:t>Evidence:</w:t>
      </w:r>
      <w:r>
        <w:t xml:space="preserve"> pagination in </w:t>
      </w:r>
      <w:r>
        <w:rPr>
          <w:rFonts w:ascii="Consolas" w:hAnsi="Consolas"/>
          <w:color w:val="9C2730"/>
          <w:sz w:val="18"/>
        </w:rPr>
        <w:t>users.service.ts</w:t>
      </w:r>
      <w:r>
        <w:t xml:space="preserve">, </w:t>
      </w:r>
      <w:r>
        <w:rPr>
          <w:rFonts w:ascii="Consolas" w:hAnsi="Consolas"/>
          <w:color w:val="9C2730"/>
          <w:sz w:val="18"/>
        </w:rPr>
        <w:t>organizations</w:t>
      </w:r>
      <w:r>
        <w:t xml:space="preserve">, </w:t>
      </w:r>
      <w:r>
        <w:rPr>
          <w:rFonts w:ascii="Consolas" w:hAnsi="Consolas"/>
          <w:color w:val="9C2730"/>
          <w:sz w:val="18"/>
        </w:rPr>
        <w:t>audit.list()</w:t>
      </w:r>
      <w:r>
        <w:t xml:space="preserve"> (limit cap 200); FK indexes in migration </w:t>
      </w:r>
      <w:r>
        <w:rPr>
          <w:rFonts w:ascii="Consolas" w:hAnsi="Consolas"/>
          <w:color w:val="9C2730"/>
          <w:sz w:val="18"/>
        </w:rPr>
        <w:t>init_domain</w:t>
      </w:r>
      <w:r>
        <w:t xml:space="preserve">; </w:t>
      </w:r>
      <w:r>
        <w:rPr>
          <w:rFonts w:ascii="Consolas" w:hAnsi="Consolas"/>
          <w:color w:val="9C2730"/>
          <w:sz w:val="18"/>
        </w:rPr>
        <w:t>test/users.e2e.spec.ts</w:t>
      </w:r>
      <w:r>
        <w:t xml:space="preserve">, </w:t>
      </w:r>
      <w:r>
        <w:rPr>
          <w:rFonts w:ascii="Consolas" w:hAnsi="Consolas"/>
          <w:color w:val="9C2730"/>
          <w:sz w:val="18"/>
        </w:rPr>
        <w:t>test/audit.e2e.spec.ts</w:t>
      </w:r>
      <w:r>
        <w:t xml:space="preserve"> (limit bounds). </w:t>
      </w:r>
      <w:r>
        <w:rPr>
          <w:b/>
        </w:rPr>
        <w:t>Remaining:</w:t>
      </w:r>
      <w:r>
        <w:t xml:space="preserve"> load/soak testing and a caching strategy as real data volume grows.</w:t>
      </w:r>
    </w:p>
    <w:p w14:paraId="11B70BF3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RIO‑NFR‑013 — Maintainability  ✅</w:t>
      </w:r>
    </w:p>
    <w:p w14:paraId="36523388" w14:textId="77777777" w:rsidR="005B1A24" w:rsidRDefault="00000000">
      <w:r>
        <w:rPr>
          <w:b/>
        </w:rPr>
        <w:t>Requirement:</w:t>
      </w:r>
      <w:r>
        <w:t xml:space="preserve"> Documented, extensible architecture; components modifiable without unintended impact.</w:t>
      </w:r>
    </w:p>
    <w:p w14:paraId="0A8FC279" w14:textId="77777777" w:rsidR="005B1A24" w:rsidRDefault="00000000">
      <w:r>
        <w:rPr>
          <w:b/>
        </w:rPr>
        <w:t>How we handled it.</w:t>
      </w:r>
      <w:r>
        <w:t xml:space="preserve"> The codebase is organised into </w:t>
      </w:r>
      <w:r>
        <w:rPr>
          <w:b/>
        </w:rPr>
        <w:t>small, single‑responsibility feature modules</w:t>
      </w:r>
      <w:r>
        <w:t xml:space="preserve"> (</w:t>
      </w:r>
      <w:r>
        <w:rPr>
          <w:rFonts w:ascii="Consolas" w:hAnsi="Consolas"/>
          <w:color w:val="9C2730"/>
          <w:sz w:val="18"/>
        </w:rPr>
        <w:t>src/modules/&lt;feature&gt;</w:t>
      </w:r>
      <w:r>
        <w:t xml:space="preserve"> — types + service + controller + module living together), with </w:t>
      </w:r>
      <w:r>
        <w:rPr>
          <w:b/>
        </w:rPr>
        <w:t>strict TypeScript</w:t>
      </w:r>
      <w:r>
        <w:t xml:space="preserve"> (</w:t>
      </w:r>
      <w:r>
        <w:rPr>
          <w:rFonts w:ascii="Consolas" w:hAnsi="Consolas"/>
          <w:color w:val="9C2730"/>
          <w:sz w:val="18"/>
        </w:rPr>
        <w:t>noUncheckedIndexedAccess</w:t>
      </w:r>
      <w:r>
        <w:t xml:space="preserve">) catching whole classes of errors at compile time. </w:t>
      </w:r>
      <w:r>
        <w:rPr>
          <w:rFonts w:ascii="Consolas" w:hAnsi="Consolas"/>
          <w:color w:val="9C2730"/>
          <w:sz w:val="18"/>
        </w:rPr>
        <w:t>ARCHITECTURE.md</w:t>
      </w:r>
      <w:r>
        <w:t xml:space="preserve"> is the reference document and includes an </w:t>
      </w:r>
      <w:r>
        <w:rPr>
          <w:b/>
        </w:rPr>
        <w:t>"adding a feature" recipe</w:t>
      </w:r>
      <w:r>
        <w:t xml:space="preserve"> and explicit invariants. Crucially, a </w:t>
      </w:r>
      <w:r>
        <w:rPr>
          <w:b/>
        </w:rPr>
        <w:t>real‑database regression suite (82 tests)</w:t>
      </w:r>
      <w:r>
        <w:t xml:space="preserve"> is the safety net that proves a change did not break existing behaviour — this is the operational meaning of "modifiable without unintended impact."</w:t>
      </w:r>
    </w:p>
    <w:p w14:paraId="48245C2C" w14:textId="77777777" w:rsidR="005B1A24" w:rsidRDefault="00000000">
      <w:r>
        <w:rPr>
          <w:b/>
        </w:rPr>
        <w:t>Packages / mechanism:</w:t>
      </w:r>
      <w:r>
        <w:t xml:space="preserve"> NestJS module system · TypeScript strict · </w:t>
      </w:r>
      <w:r>
        <w:rPr>
          <w:rFonts w:ascii="Consolas" w:hAnsi="Consolas"/>
          <w:color w:val="9C2730"/>
          <w:sz w:val="18"/>
        </w:rPr>
        <w:t>vitest</w:t>
      </w:r>
      <w:r>
        <w:t xml:space="preserve"> + </w:t>
      </w:r>
      <w:r>
        <w:rPr>
          <w:rFonts w:ascii="Consolas" w:hAnsi="Consolas"/>
          <w:color w:val="9C2730"/>
          <w:sz w:val="18"/>
        </w:rPr>
        <w:t>supertest</w:t>
      </w:r>
      <w:r>
        <w:t xml:space="preserve">. </w:t>
      </w:r>
      <w:r>
        <w:rPr>
          <w:b/>
        </w:rPr>
        <w:t>Standards:</w:t>
      </w:r>
      <w:r>
        <w:t xml:space="preserve"> ISO/IEC 25010 (maintainability: modularity, analysability, testability).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src/modules/*</w:t>
      </w:r>
      <w:r>
        <w:t xml:space="preserve"> structure, </w:t>
      </w:r>
      <w:r>
        <w:rPr>
          <w:rFonts w:ascii="Consolas" w:hAnsi="Consolas"/>
          <w:color w:val="9C2730"/>
          <w:sz w:val="18"/>
        </w:rPr>
        <w:t>ARCHITECTURE.md</w:t>
      </w:r>
      <w:r>
        <w:t>, full suite as regression gate.</w:t>
      </w:r>
    </w:p>
    <w:p w14:paraId="35F0D103" w14:textId="77777777" w:rsidR="005B1A24" w:rsidRDefault="00000000">
      <w:pPr>
        <w:spacing w:before="160" w:after="60"/>
      </w:pPr>
      <w:r>
        <w:rPr>
          <w:b/>
          <w:color w:val="2B4B8C"/>
          <w:sz w:val="22"/>
        </w:rPr>
        <w:t>RIO‑NFR‑009 — Browser Compatibility  ⬜ (frontend‑owned; backend contributes)</w:t>
      </w:r>
    </w:p>
    <w:p w14:paraId="728F2F70" w14:textId="77777777" w:rsidR="005B1A24" w:rsidRDefault="00000000">
      <w:r>
        <w:rPr>
          <w:b/>
        </w:rPr>
        <w:t>Requirement:</w:t>
      </w:r>
      <w:r>
        <w:t xml:space="preserve"> Web components work across modern browsers; no major rendering errors.</w:t>
      </w:r>
    </w:p>
    <w:p w14:paraId="7A1BC33C" w14:textId="77777777" w:rsidR="005B1A24" w:rsidRDefault="00000000">
      <w:r>
        <w:rPr>
          <w:b/>
        </w:rPr>
        <w:t>How we handled it.</w:t>
      </w:r>
      <w:r>
        <w:t xml:space="preserve"> Browser rendering is delivered by the </w:t>
      </w:r>
      <w:r>
        <w:rPr>
          <w:b/>
        </w:rPr>
        <w:t>frontend component</w:t>
      </w:r>
      <w:r>
        <w:t xml:space="preserve"> (</w:t>
      </w:r>
      <w:r>
        <w:rPr>
          <w:rFonts w:ascii="Consolas" w:hAnsi="Consolas"/>
          <w:color w:val="9C2730"/>
          <w:sz w:val="18"/>
        </w:rPr>
        <w:t>Project-RIO-Frontend</w:t>
      </w:r>
      <w:r>
        <w:t xml:space="preserve">) — there is no backend rendering surface. The backend's contribution to cross‑browser reliability is a </w:t>
      </w:r>
      <w:r>
        <w:rPr>
          <w:b/>
        </w:rPr>
        <w:t>standards‑compliant, framework‑agnostic HTTP/JSON API</w:t>
      </w:r>
      <w:r>
        <w:t xml:space="preserve">: a stable OpenAPI contract, correct </w:t>
      </w:r>
      <w:r>
        <w:rPr>
          <w:b/>
        </w:rPr>
        <w:t>CORS</w:t>
      </w:r>
      <w:r>
        <w:t xml:space="preserve"> (a single explicit allowed origin with credentials — never a wildcard, so the browser security model is respected), secure cookies (</w:t>
      </w:r>
      <w:r>
        <w:rPr>
          <w:rFonts w:ascii="Consolas" w:hAnsi="Consolas"/>
          <w:color w:val="9C2730"/>
          <w:sz w:val="18"/>
        </w:rPr>
        <w:t>httpOnly</w:t>
      </w:r>
      <w:r>
        <w:t>), and consistent error envelopes. Because the API is a plain HTTP/JSON service, it imposes no browser‑specific constraints on the UI.</w:t>
      </w:r>
    </w:p>
    <w:p w14:paraId="161DD633" w14:textId="77777777" w:rsidR="005B1A24" w:rsidRDefault="00000000">
      <w:r>
        <w:rPr>
          <w:b/>
        </w:rPr>
        <w:t>Packages / mechanism:</w:t>
      </w:r>
      <w:r>
        <w:t xml:space="preserve"> NestJS CORS · </w:t>
      </w:r>
      <w:r>
        <w:rPr>
          <w:rFonts w:ascii="Consolas" w:hAnsi="Consolas"/>
          <w:color w:val="9C2730"/>
          <w:sz w:val="18"/>
        </w:rPr>
        <w:t>helmet</w:t>
      </w:r>
      <w:r>
        <w:t xml:space="preserve"> · </w:t>
      </w:r>
      <w:r>
        <w:rPr>
          <w:rFonts w:ascii="Consolas" w:hAnsi="Consolas"/>
          <w:color w:val="9C2730"/>
          <w:sz w:val="18"/>
        </w:rPr>
        <w:t>swagger-ui-express</w:t>
      </w:r>
      <w:r>
        <w:t xml:space="preserve"> (OpenAPI). </w:t>
      </w:r>
      <w:r>
        <w:rPr>
          <w:b/>
        </w:rPr>
        <w:t>Standards:</w:t>
      </w:r>
      <w:r>
        <w:t xml:space="preserve"> WHATWG Fetch / W3C CORS; ISO/IEC 25010 (portability). Frontend owns WCAG / cross‑browser QA. </w:t>
      </w: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9C2730"/>
          <w:sz w:val="18"/>
        </w:rPr>
        <w:t>src/main.ts</w:t>
      </w:r>
      <w:r>
        <w:t xml:space="preserve"> (</w:t>
      </w:r>
      <w:r>
        <w:rPr>
          <w:rFonts w:ascii="Consolas" w:hAnsi="Consolas"/>
          <w:color w:val="9C2730"/>
          <w:sz w:val="18"/>
        </w:rPr>
        <w:t>enableCors</w:t>
      </w:r>
      <w:r>
        <w:t xml:space="preserve"> single origin + credentials); </w:t>
      </w:r>
      <w:r>
        <w:rPr>
          <w:rFonts w:ascii="Consolas" w:hAnsi="Consolas"/>
          <w:color w:val="9C2730"/>
          <w:sz w:val="18"/>
        </w:rPr>
        <w:t>src/contract/openapi.ts</w:t>
      </w:r>
      <w:r>
        <w:t>.</w:t>
      </w:r>
    </w:p>
    <w:p w14:paraId="11AF30AE" w14:textId="77777777" w:rsidR="005B1A24" w:rsidRDefault="005B1A24">
      <w:pPr>
        <w:pBdr>
          <w:bottom w:val="single" w:sz="6" w:space="4" w:color="C6D0E0"/>
        </w:pBdr>
        <w:spacing w:before="40" w:after="160"/>
      </w:pPr>
    </w:p>
    <w:p w14:paraId="08EB4800" w14:textId="77777777" w:rsidR="005B1A24" w:rsidRDefault="00000000">
      <w:pPr>
        <w:pBdr>
          <w:bottom w:val="single" w:sz="8" w:space="4" w:color="1F2D5A"/>
        </w:pBdr>
        <w:spacing w:before="240"/>
      </w:pPr>
      <w:r>
        <w:rPr>
          <w:b/>
          <w:color w:val="1F2D5A"/>
          <w:sz w:val="29"/>
        </w:rPr>
        <w:t>5. Verification &amp; assurance</w:t>
      </w:r>
    </w:p>
    <w:p w14:paraId="4535D1BC" w14:textId="77777777" w:rsidR="005B1A24" w:rsidRDefault="00000000">
      <w:pPr>
        <w:pStyle w:val="ListBullet"/>
        <w:spacing w:after="60"/>
      </w:pPr>
      <w:r>
        <w:rPr>
          <w:b/>
        </w:rPr>
        <w:t>82 automated tests</w:t>
      </w:r>
      <w:r>
        <w:t xml:space="preserve"> (Vitest unit + Supertest end‑to‑end) run against a </w:t>
      </w:r>
      <w:r>
        <w:rPr>
          <w:b/>
        </w:rPr>
        <w:t>real, TLS‑enabled PostgreSQL</w:t>
      </w:r>
      <w:r>
        <w:t xml:space="preserve"> in Docker — not mocks. This includes a dedicated </w:t>
      </w:r>
      <w:r>
        <w:rPr>
          <w:b/>
        </w:rPr>
        <w:t>fail‑closed RLS gate</w:t>
      </w:r>
      <w:r>
        <w:t xml:space="preserve"> proving cross‑tenant reads return zero rows, and cross‑org </w:t>
      </w:r>
      <w:r>
        <w:rPr>
          <w:b/>
        </w:rPr>
        <w:t>403</w:t>
      </w:r>
      <w:r>
        <w:t xml:space="preserve"> authorization tests.</w:t>
      </w:r>
    </w:p>
    <w:p w14:paraId="3CBBF9CE" w14:textId="77777777" w:rsidR="005B1A24" w:rsidRDefault="00000000">
      <w:pPr>
        <w:pStyle w:val="ListBullet"/>
        <w:spacing w:after="60"/>
      </w:pPr>
      <w:r>
        <w:rPr>
          <w:b/>
        </w:rPr>
        <w:t>Every change lands only when `pnpm test` and `pnpm build` are both green.</w:t>
      </w:r>
    </w:p>
    <w:p w14:paraId="126B2BE1" w14:textId="77777777" w:rsidR="005B1A24" w:rsidRDefault="00000000">
      <w:pPr>
        <w:pStyle w:val="ListBullet"/>
        <w:spacing w:after="60"/>
      </w:pPr>
      <w:r>
        <w:t xml:space="preserve">A </w:t>
      </w:r>
      <w:r>
        <w:rPr>
          <w:b/>
        </w:rPr>
        <w:t>post‑merge security‑review hardening pass</w:t>
      </w:r>
      <w:r>
        <w:t xml:space="preserve"> (commit </w:t>
      </w:r>
      <w:r>
        <w:rPr>
          <w:rFonts w:ascii="Consolas" w:hAnsi="Consolas"/>
          <w:color w:val="9C2730"/>
          <w:sz w:val="18"/>
        </w:rPr>
        <w:t>3eedad9</w:t>
      </w:r>
      <w:r>
        <w:t>) reinstated request‑body validation on write endpoints, enabled authentication of the database TLS certificate, attributed cross‑org admin actions to the affected entity in the audit trail, and mapped duplicate‑email to a clean HTTP 409.</w:t>
      </w:r>
    </w:p>
    <w:p w14:paraId="347F1AA0" w14:textId="77777777" w:rsidR="005B1A24" w:rsidRDefault="00000000">
      <w:pPr>
        <w:pBdr>
          <w:bottom w:val="single" w:sz="8" w:space="4" w:color="1F2D5A"/>
        </w:pBdr>
        <w:spacing w:before="240"/>
      </w:pPr>
      <w:r>
        <w:rPr>
          <w:b/>
          <w:color w:val="1F2D5A"/>
          <w:sz w:val="29"/>
        </w:rPr>
        <w:t>6. Honest gaps &amp; production to‑dos</w:t>
      </w:r>
    </w:p>
    <w:p w14:paraId="0B2D3555" w14:textId="77777777" w:rsidR="005B1A24" w:rsidRDefault="00000000">
      <w:r>
        <w:lastRenderedPageBreak/>
        <w:t xml:space="preserve">These are </w:t>
      </w:r>
      <w:r>
        <w:rPr>
          <w:b/>
        </w:rPr>
        <w:t>operational/deployment</w:t>
      </w:r>
      <w:r>
        <w:t xml:space="preserve"> items, not architectural gaps — the design is complete and DB‑enforced:</w:t>
      </w:r>
    </w:p>
    <w:p w14:paraId="6063C31C" w14:textId="77777777" w:rsidR="005B1A24" w:rsidRDefault="00000000">
      <w:pPr>
        <w:pStyle w:val="ListNumber"/>
        <w:spacing w:after="60"/>
      </w:pPr>
      <w:r>
        <w:rPr>
          <w:b/>
        </w:rPr>
        <w:t>Certificates &amp; secrets:</w:t>
      </w:r>
      <w:r>
        <w:t xml:space="preserve"> replace self‑signed dev certificates with CA‑signed ones; rotate the JWT secret and database‑role passwords per environment (they ship as dev placeholders).</w:t>
      </w:r>
    </w:p>
    <w:p w14:paraId="4F200469" w14:textId="0393D281" w:rsidR="005B1A24" w:rsidRDefault="00000000">
      <w:pPr>
        <w:pStyle w:val="ListNumber"/>
        <w:spacing w:after="60"/>
      </w:pPr>
      <w:r>
        <w:rPr>
          <w:b/>
        </w:rPr>
        <w:t>Token revocation:</w:t>
      </w:r>
      <w:r>
        <w:t xml:space="preserve"> stateless JWT means logout is a client‑side drop; a token is valid until expiry (12h).</w:t>
      </w:r>
    </w:p>
    <w:p w14:paraId="1A560A96" w14:textId="77777777" w:rsidR="005B1A24" w:rsidRDefault="00000000">
      <w:pPr>
        <w:pStyle w:val="ListNumber"/>
        <w:spacing w:after="60"/>
      </w:pPr>
      <w:r>
        <w:rPr>
          <w:b/>
        </w:rPr>
        <w:t>Rate limiting:</w:t>
      </w:r>
      <w:r>
        <w:t xml:space="preserve"> currently per‑account lockout (5 failures → 15‑min lock); a global/IP throttle in front of login is a recommended addition.</w:t>
      </w:r>
    </w:p>
    <w:p w14:paraId="71E0D92E" w14:textId="77777777" w:rsidR="005B1A24" w:rsidRDefault="00000000">
      <w:pPr>
        <w:pStyle w:val="ListNumber"/>
        <w:spacing w:after="60"/>
      </w:pPr>
      <w:r>
        <w:rPr>
          <w:b/>
        </w:rPr>
        <w:t>At‑rest bulk encryption, load &amp; penetration testing:</w:t>
      </w:r>
      <w:r>
        <w:t xml:space="preserve"> deployment‑layer responsibilities not yet configured.</w:t>
      </w:r>
    </w:p>
    <w:p w14:paraId="59F8BEDB" w14:textId="77777777" w:rsidR="005B1A24" w:rsidRDefault="005B1A24">
      <w:pPr>
        <w:pBdr>
          <w:bottom w:val="single" w:sz="6" w:space="4" w:color="C6D0E0"/>
        </w:pBdr>
        <w:spacing w:before="40" w:after="160"/>
      </w:pPr>
    </w:p>
    <w:p w14:paraId="36BECF38" w14:textId="77777777" w:rsidR="005B1A24" w:rsidRDefault="00000000">
      <w:r>
        <w:rPr>
          <w:i/>
        </w:rPr>
        <w:t>Project RIO (CNAP) · Backend requirements delivery report · compiled 2026‑07‑14 from branch `main`. Companion documents: `ARCHITECTURE.md`, `docs/traceability-matrix.md`, `docs/backend-status-report.md`, `docs/schema.dbml` (+ `docs/schema-erd.png`).</w:t>
      </w:r>
    </w:p>
    <w:sectPr w:rsidR="005B1A24" w:rsidSect="00034616">
      <w:footerReference w:type="default" r:id="rId8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628E" w14:textId="77777777" w:rsidR="00AF483D" w:rsidRDefault="00AF483D">
      <w:pPr>
        <w:spacing w:after="0" w:line="240" w:lineRule="auto"/>
      </w:pPr>
      <w:r>
        <w:separator/>
      </w:r>
    </w:p>
  </w:endnote>
  <w:endnote w:type="continuationSeparator" w:id="0">
    <w:p w14:paraId="4D69F434" w14:textId="77777777" w:rsidR="00AF483D" w:rsidRDefault="00AF4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48665" w14:textId="77777777" w:rsidR="005B1A24" w:rsidRDefault="00000000">
    <w:pPr>
      <w:pStyle w:val="Footer"/>
      <w:jc w:val="center"/>
    </w:pPr>
    <w:r>
      <w:rPr>
        <w:color w:val="5A6478"/>
        <w:sz w:val="16"/>
      </w:rPr>
      <w:t xml:space="preserve">Project RIO (CNAP) — Requirements Delivery Report    ·    Page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7809F" w14:textId="77777777" w:rsidR="00AF483D" w:rsidRDefault="00AF483D">
      <w:pPr>
        <w:spacing w:after="0" w:line="240" w:lineRule="auto"/>
      </w:pPr>
      <w:r>
        <w:separator/>
      </w:r>
    </w:p>
  </w:footnote>
  <w:footnote w:type="continuationSeparator" w:id="0">
    <w:p w14:paraId="3A43EFC3" w14:textId="77777777" w:rsidR="00AF483D" w:rsidRDefault="00AF4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569197">
    <w:abstractNumId w:val="8"/>
  </w:num>
  <w:num w:numId="2" w16cid:durableId="168494907">
    <w:abstractNumId w:val="6"/>
  </w:num>
  <w:num w:numId="3" w16cid:durableId="1006522238">
    <w:abstractNumId w:val="5"/>
  </w:num>
  <w:num w:numId="4" w16cid:durableId="1380587049">
    <w:abstractNumId w:val="4"/>
  </w:num>
  <w:num w:numId="5" w16cid:durableId="578757471">
    <w:abstractNumId w:val="7"/>
  </w:num>
  <w:num w:numId="6" w16cid:durableId="120653950">
    <w:abstractNumId w:val="3"/>
  </w:num>
  <w:num w:numId="7" w16cid:durableId="1333027551">
    <w:abstractNumId w:val="2"/>
  </w:num>
  <w:num w:numId="8" w16cid:durableId="1770344138">
    <w:abstractNumId w:val="1"/>
  </w:num>
  <w:num w:numId="9" w16cid:durableId="85165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A24"/>
    <w:rsid w:val="00AA1D8D"/>
    <w:rsid w:val="00AF483D"/>
    <w:rsid w:val="00B42C02"/>
    <w:rsid w:val="00B47730"/>
    <w:rsid w:val="00CB0664"/>
    <w:rsid w:val="00F44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8C3FE"/>
  <w14:defaultImageDpi w14:val="300"/>
  <w15:docId w15:val="{DD5CC0FC-52B2-4ED2-85F8-99D07427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A3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2809</Words>
  <Characters>16013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durai</cp:lastModifiedBy>
  <cp:revision>2</cp:revision>
  <dcterms:created xsi:type="dcterms:W3CDTF">2013-12-23T23:15:00Z</dcterms:created>
  <dcterms:modified xsi:type="dcterms:W3CDTF">2026-07-14T04:13:00Z</dcterms:modified>
  <cp:category/>
</cp:coreProperties>
</file>