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firstLine="0"/>
        <w:jc w:val="center"/>
      </w:pPr>
      <w:r>
        <w:rPr>
          <w:rFonts w:ascii="Times New Roman" w:hAnsi="Times New Roman"/>
          <w:b w:val="0"/>
          <w:i w:val="0"/>
          <w:sz w:val="36"/>
        </w:rPr>
        <w:t>A Modular Multi-Agent AI Pipeline for Industrial Wastewater Intelligence: Design, Orchestration, and Evaluation of Four Cooperating Agents</w:t>
      </w:r>
    </w:p>
    <w:p>
      <w:pPr>
        <w:spacing w:before="0" w:after="40"/>
        <w:ind w:firstLine="0"/>
        <w:jc w:val="center"/>
      </w:pPr>
      <w:r>
        <w:rPr>
          <w:rFonts w:ascii="Times New Roman" w:hAnsi="Times New Roman"/>
          <w:b w:val="0"/>
          <w:i w:val="0"/>
          <w:sz w:val="22"/>
        </w:rPr>
        <w:t>Niranjan Praveen</w:t>
      </w:r>
    </w:p>
    <w:p>
      <w:pPr>
        <w:spacing w:before="0" w:after="40"/>
        <w:ind w:firstLine="0"/>
        <w:jc w:val="center"/>
      </w:pPr>
      <w:r>
        <w:rPr>
          <w:rFonts w:ascii="Times New Roman" w:hAnsi="Times New Roman"/>
          <w:b w:val="0"/>
          <w:i/>
          <w:sz w:val="20"/>
        </w:rPr>
        <w:t>[PLACEHOLDER: Department Name]</w:t>
        <w:br/>
        <w:t>[PLACEHOLDER: Institution Name, City, Country]</w:t>
        <w:br/>
        <w:t>niranjanbpraveen@gmail.com</w:t>
      </w:r>
    </w:p>
    <w:p>
      <w:pPr>
        <w:spacing w:after="120" w:before="0"/>
      </w:pPr>
      <w:r>
        <w:rPr>
          <w:sz w:val="8"/>
        </w:rPr>
        <w:t xml:space="preserve"> </w:t>
      </w:r>
    </w:p>
    <w:p>
      <w:pPr>
        <w:spacing w:before="0" w:after="40"/>
        <w:ind w:firstLine="0"/>
        <w:jc w:val="left"/>
      </w:pPr>
      <w:r>
        <w:rPr>
          <w:rFonts w:ascii="Times New Roman" w:hAnsi="Times New Roman"/>
          <w:b/>
          <w:i/>
          <w:sz w:val="18"/>
        </w:rPr>
        <w:t>Abstract</w:t>
      </w:r>
      <w:r>
        <w:rPr>
          <w:rFonts w:ascii="Times New Roman" w:hAnsi="Times New Roman"/>
          <w:b w:val="0"/>
          <w:i/>
          <w:sz w:val="18"/>
        </w:rPr>
        <w:t xml:space="preserve"> — Applying artificial intelligence to industrial wastewater analysis and equipment health monitoring at scale requires orchestrating multiple specialised modules — data ingestion, ML inference, natural language generation, and equipment diagnostics — in a reliable, maintainable pipeline. Ad hoc monolithic integrations of these capabilities produce systems that are difficult to test, fault-isolate, and extend to new industry types. This paper presents a modular multi-agent AI pipeline for industrial wastewater intelligence comprising four cooperating agents: DataAgent, AnalysisAgent, LLMAgent, and PreventiveAgent. Each agent encapsulates a distinct responsibility and is shared globally via lazy initialisation, ensuring a single model-load per server lifetime. The system serves seventeen industrial sector types across sixty or more effluent sub-categories, running IsolationForest-based anomaly detection, Random Forest classification, multi-step forecasting, Gemini-powered prescriptive analytics, and ISO 10816-calibrated equipment health assessment through a unified Flask REST API. The design, orchestration strategy, agent interaction protocol, and end-to-end evaluation are presented, with particular attention to fault isolation, fallback degradation, and response latency under per-agent failure scenarios.</w:t>
      </w:r>
    </w:p>
    <w:p>
      <w:pPr>
        <w:spacing w:before="80" w:after="120"/>
        <w:ind w:firstLine="0"/>
        <w:jc w:val="left"/>
      </w:pPr>
      <w:r>
        <w:rPr>
          <w:rFonts w:ascii="Times New Roman" w:hAnsi="Times New Roman"/>
          <w:b/>
          <w:i/>
          <w:sz w:val="18"/>
        </w:rPr>
        <w:t xml:space="preserve">Keywords: </w:t>
      </w:r>
      <w:r>
        <w:rPr>
          <w:rFonts w:ascii="Times New Roman" w:hAnsi="Times New Roman"/>
          <w:b w:val="0"/>
          <w:i/>
          <w:sz w:val="18"/>
        </w:rPr>
        <w:t>multi-agent AI, wastewater analysis, IsolationForest, modular pipeline, Flask REST API, anomaly detection, equipment health monitoring, orchestration</w:t>
      </w:r>
    </w:p>
    <w:p>
      <w:pPr>
        <w:spacing w:before="0" w:after="0"/>
        <w:sectPr>
          <w:type w:val="continuous"/>
          <w:pgSz w:w="11906" w:h="16838"/>
          <w:pgMar w:top="1077" w:right="810" w:bottom="2438" w:left="810" w:header="709" w:footer="709" w:gutter="0"/>
          <w:cols w:num="1"/>
        </w:sectPr>
      </w:pPr>
    </w:p>
    <w:p>
      <w:pPr>
        <w:spacing w:before="160" w:after="60"/>
        <w:ind w:firstLine="0"/>
        <w:jc w:val="center"/>
      </w:pPr>
      <w:r>
        <w:rPr>
          <w:rFonts w:ascii="Times New Roman" w:hAnsi="Times New Roman"/>
          <w:b/>
          <w:i w:val="0"/>
          <w:sz w:val="20"/>
        </w:rPr>
        <w:t>I.  INTRODUCTION</w:t>
      </w:r>
    </w:p>
    <w:p>
      <w:pPr>
        <w:spacing w:before="0" w:after="80"/>
        <w:ind w:firstLine="259"/>
        <w:jc w:val="both"/>
      </w:pPr>
      <w:r>
        <w:rPr>
          <w:rFonts w:ascii="Times New Roman" w:hAnsi="Times New Roman"/>
          <w:b w:val="0"/>
          <w:i w:val="0"/>
          <w:sz w:val="20"/>
        </w:rPr>
        <w:t xml:space="preserve">Industrial wastewater management is a multi-dimensional problem. A treatment plant must simultaneously track eight or more regulated effluent parameters, classify the nature of any detected anomaly, forecast parameter trajectories, and determine appropriate remediation actions — all while maintaining visibility into the health of the electromechanical equipment that drives the treatment process. Each of these sub-problems has its own data characteristics, modelling requirements, and output interface. Comprehensive reviews of AI techniques applied to wastewater treatment confirm that no single model architecture addresses all of these needs simultaneously </w:t>
      </w:r>
      <w:r>
        <w:rPr>
          <w:rFonts w:ascii="Times New Roman" w:hAnsi="Times New Roman"/>
          <w:b w:val="0"/>
          <w:i w:val="0"/>
          <w:sz w:val="18"/>
        </w:rPr>
        <w:t>[1]</w:t>
      </w:r>
      <w:r>
        <w:rPr>
          <w:rFonts w:ascii="Times New Roman" w:hAnsi="Times New Roman"/>
          <w:b w:val="0"/>
          <w:i w:val="0"/>
          <w:sz w:val="20"/>
        </w:rPr>
      </w:r>
      <w:r>
        <w:rPr>
          <w:rFonts w:ascii="Times New Roman" w:hAnsi="Times New Roman"/>
          <w:b w:val="0"/>
          <w:i w:val="0"/>
          <w:sz w:val="18"/>
        </w:rPr>
        <w:t>[2]</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The dominant approach in the literature is to address one sub-problem at a time: a dedicated anomaly detector, a separate classifier, an independent forecaster, each developed and evaluated in isolation from the others </w:t>
      </w:r>
      <w:r>
        <w:rPr>
          <w:rFonts w:ascii="Times New Roman" w:hAnsi="Times New Roman"/>
          <w:b w:val="0"/>
          <w:i w:val="0"/>
          <w:sz w:val="18"/>
        </w:rPr>
        <w:t>[3]</w:t>
      </w:r>
      <w:r>
        <w:rPr>
          <w:rFonts w:ascii="Times New Roman" w:hAnsi="Times New Roman"/>
          <w:b w:val="0"/>
          <w:i w:val="0"/>
          <w:sz w:val="20"/>
        </w:rPr>
        <w:t>. While this produces well-characterised models for individual tasks, it does not address the engineering challenge of integrating these capabilities into a coherent, operational system that can serve multiple industrial sectors through a single interface. Integrating four or more ML models with a large language model and a regulatory parameter checking layer into a single production API, while ensuring fault isolation, graceful degradation, and consistent response latency, is itself a non-trivial systems engineering problem that existing literature does not address directly.</w:t>
      </w:r>
    </w:p>
    <w:p>
      <w:pPr>
        <w:spacing w:before="0" w:after="80"/>
        <w:ind w:firstLine="259"/>
        <w:jc w:val="both"/>
      </w:pPr>
      <w:r>
        <w:rPr>
          <w:rFonts w:ascii="Times New Roman" w:hAnsi="Times New Roman"/>
          <w:b w:val="0"/>
          <w:i w:val="0"/>
          <w:sz w:val="20"/>
        </w:rPr>
        <w:t xml:space="preserve">Agent-based architectures are increasingly proposed as a design pattern for complex AI applications. In the general AI literature, multi-agent frameworks such as LangChain and AutoGen have demonstrated that decomposing an AI application into cooperating specialised agents produces systems that are easier to test, extend, and maintain than monolithic pipelines </w:t>
      </w:r>
      <w:r>
        <w:rPr>
          <w:rFonts w:ascii="Times New Roman" w:hAnsi="Times New Roman"/>
          <w:b w:val="0"/>
          <w:i w:val="0"/>
          <w:sz w:val="18"/>
        </w:rPr>
        <w:t>[4]</w:t>
      </w:r>
      <w:r>
        <w:rPr>
          <w:rFonts w:ascii="Times New Roman" w:hAnsi="Times New Roman"/>
          <w:b w:val="0"/>
          <w:i w:val="0"/>
          <w:sz w:val="20"/>
        </w:rPr>
        <w:t xml:space="preserve">. However, published multi-agent deployments for wastewater management are either conceptual frameworks without a concrete implementation, or demonstrations limited to a single industry type and a single analysis task </w:t>
      </w:r>
      <w:r>
        <w:rPr>
          <w:rFonts w:ascii="Times New Roman" w:hAnsi="Times New Roman"/>
          <w:b w:val="0"/>
          <w:i w:val="0"/>
          <w:sz w:val="18"/>
        </w:rPr>
        <w:t>[4]</w:t>
      </w:r>
      <w:r>
        <w:rPr>
          <w:rFonts w:ascii="Times New Roman" w:hAnsi="Times New Roman"/>
          <w:b w:val="0"/>
          <w:i w:val="0"/>
          <w:sz w:val="20"/>
        </w:rPr>
        <w:t>. A rigorous, domain-specific multi-agent design that covers the full lifecycle from raw sensor data to prescriptive output — deployed across seventeen industry types with documented orchestration behaviour, fallback strategy, and latency evaluation — has not been reported.</w:t>
      </w:r>
    </w:p>
    <w:p>
      <w:pPr>
        <w:spacing w:before="0" w:after="80"/>
        <w:ind w:firstLine="259"/>
        <w:jc w:val="both"/>
      </w:pPr>
      <w:r>
        <w:rPr>
          <w:rFonts w:ascii="Times New Roman" w:hAnsi="Times New Roman"/>
          <w:b w:val="0"/>
          <w:i w:val="0"/>
          <w:sz w:val="20"/>
        </w:rPr>
        <w:t>This paper presents the HEEPL Industrial Wastewater Intelligence Platform, a modular multi-agent AI pipeline implemented as a Flask REST API. The platform comprises four agents — DataAgent, AnalysisAgent, LLMAgent, and PreventiveAgent — each encapsulating a distinct capability. They are orchestrated through a shared ModelRegistry with lazy initialisation, share no mutable state, and degrade independently under failure. The paper makes three primary contributions: (1) a concrete agent decomposition design for wastewater AI with documented responsibility boundaries; (2) an orchestration architecture featuring lazy global initialisation, independent fault isolation, and template-based fallback; and (3) a systematic evaluation of the four-agent pipeline across seventeen industry configurations, measuring per-agent response latency, failure injection behaviour, and full-pipeline throughput.</w:t>
      </w:r>
    </w:p>
    <w:p>
      <w:pPr>
        <w:spacing w:before="0" w:after="80"/>
        <w:ind w:firstLine="259"/>
        <w:jc w:val="both"/>
      </w:pPr>
      <w:r>
        <w:rPr>
          <w:rFonts w:ascii="Times New Roman" w:hAnsi="Times New Roman"/>
          <w:b w:val="0"/>
          <w:i w:val="0"/>
          <w:sz w:val="20"/>
        </w:rPr>
        <w:t>The remainder of this paper is organised as follows. Section II surveys related work in ML-based wastewater analysis, anomaly detection, and multi-agent AI systems. Section III presents the system design: the four agent definitions, their interactions, and the ModelRegistry. Section IV details the orchestration layer including the REST API, lazy initialisation, and fallback behaviour. Section V describes the evaluation methodology and results. Section VI discusses limitations and directions for future work. Section VII concludes.</w:t>
      </w:r>
    </w:p>
    <w:p>
      <w:pPr>
        <w:spacing w:before="160" w:after="60"/>
        <w:ind w:firstLine="0"/>
        <w:jc w:val="center"/>
      </w:pPr>
      <w:r>
        <w:rPr>
          <w:rFonts w:ascii="Times New Roman" w:hAnsi="Times New Roman"/>
          <w:b/>
          <w:i w:val="0"/>
          <w:sz w:val="20"/>
        </w:rPr>
        <w:t>II.  RELATED WORK</w:t>
      </w:r>
    </w:p>
    <w:p>
      <w:pPr>
        <w:spacing w:before="100" w:after="40"/>
        <w:ind w:firstLine="0"/>
        <w:jc w:val="left"/>
      </w:pPr>
      <w:r>
        <w:rPr>
          <w:rFonts w:ascii="Times New Roman" w:hAnsi="Times New Roman"/>
          <w:b w:val="0"/>
          <w:i/>
          <w:sz w:val="20"/>
        </w:rPr>
        <w:t>A. Machine Learning for Wastewater Analysis</w:t>
      </w:r>
    </w:p>
    <w:p>
      <w:pPr>
        <w:spacing w:before="0" w:after="80"/>
        <w:ind w:firstLine="259"/>
        <w:jc w:val="both"/>
      </w:pPr>
      <w:r>
        <w:rPr>
          <w:rFonts w:ascii="Times New Roman" w:hAnsi="Times New Roman"/>
          <w:b w:val="0"/>
          <w:i w:val="0"/>
          <w:sz w:val="20"/>
        </w:rPr>
        <w:t xml:space="preserve">Machine learning has been applied to wastewater treatment monitoring across a spectrum of tasks. Semi-supervised anomaly detection has been demonstrated for dissolved oxygen sensor monitoring in full-scale ETPs, showing that unsupervised baselines can be improved by incorporating limited labelled data </w:t>
      </w:r>
      <w:r>
        <w:rPr>
          <w:rFonts w:ascii="Times New Roman" w:hAnsi="Times New Roman"/>
          <w:b w:val="0"/>
          <w:i w:val="0"/>
          <w:sz w:val="18"/>
        </w:rPr>
        <w:t>[5]</w:t>
      </w:r>
      <w:r>
        <w:rPr>
          <w:rFonts w:ascii="Times New Roman" w:hAnsi="Times New Roman"/>
          <w:b w:val="0"/>
          <w:i w:val="0"/>
          <w:sz w:val="20"/>
        </w:rPr>
        <w:t xml:space="preserve">. Comparative studies of ML methods for predicting wastewater treatment efficiency confirm that ensemble methods (Random Forest, Gradient Boosting) consistently outperform single-model baselines when historical data is limited, and that imputer-scaler-classifier pipelines produce more robust predictions than models trained on raw inputs </w:t>
      </w:r>
      <w:r>
        <w:rPr>
          <w:rFonts w:ascii="Times New Roman" w:hAnsi="Times New Roman"/>
          <w:b w:val="0"/>
          <w:i w:val="0"/>
          <w:sz w:val="18"/>
        </w:rPr>
        <w:t>[6]</w:t>
      </w:r>
      <w:r>
        <w:rPr>
          <w:rFonts w:ascii="Times New Roman" w:hAnsi="Times New Roman"/>
          <w:b w:val="0"/>
          <w:i w:val="0"/>
          <w:sz w:val="20"/>
        </w:rPr>
        <w:t xml:space="preserve">. Supervised approaches for effluent quality prediction at real treatment plants demonstrate high accuracy for BOD, COD, and TSS prediction, but are typically evaluated as standalone classifiers rather than integrated with recommendation or remediation systems </w:t>
      </w:r>
      <w:r>
        <w:rPr>
          <w:rFonts w:ascii="Times New Roman" w:hAnsi="Times New Roman"/>
          <w:b w:val="0"/>
          <w:i w:val="0"/>
          <w:sz w:val="18"/>
        </w:rPr>
        <w:t>[7]</w:t>
      </w:r>
      <w:r>
        <w:rPr>
          <w:rFonts w:ascii="Times New Roman" w:hAnsi="Times New Roman"/>
          <w:b w:val="0"/>
          <w:i w:val="0"/>
          <w:sz w:val="20"/>
        </w:rPr>
      </w:r>
      <w:r>
        <w:rPr>
          <w:rFonts w:ascii="Times New Roman" w:hAnsi="Times New Roman"/>
          <w:b w:val="0"/>
          <w:i w:val="0"/>
          <w:sz w:val="18"/>
        </w:rPr>
        <w:t>[8]</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Recent work has adopted deep learning approaches for wastewater anomaly detection. Variational autoencoder-LSTM fusion models have been demonstrated for detecting anomalies in wastewater treatment time series, achieving improved detection rates compared to traditional threshold-based methods by capturing temporal dependencies across multiple parameters </w:t>
      </w:r>
      <w:r>
        <w:rPr>
          <w:rFonts w:ascii="Times New Roman" w:hAnsi="Times New Roman"/>
          <w:b w:val="0"/>
          <w:i w:val="0"/>
          <w:sz w:val="18"/>
        </w:rPr>
        <w:t>[9]</w:t>
      </w:r>
      <w:r>
        <w:rPr>
          <w:rFonts w:ascii="Times New Roman" w:hAnsi="Times New Roman"/>
          <w:b w:val="0"/>
          <w:i w:val="0"/>
          <w:sz w:val="20"/>
        </w:rPr>
        <w:t>. However, these deep learning approaches require substantial historical data and are computationally expensive to deploy in real-time settings, making them less suitable for environments with data scarcity or modest compute infrastructure — the conditions that characterise the majority of industrial ETPs in developing economies.</w:t>
      </w:r>
    </w:p>
    <w:p>
      <w:pPr>
        <w:spacing w:before="100" w:after="40"/>
        <w:ind w:firstLine="0"/>
        <w:jc w:val="left"/>
      </w:pPr>
      <w:r>
        <w:rPr>
          <w:rFonts w:ascii="Times New Roman" w:hAnsi="Times New Roman"/>
          <w:b w:val="0"/>
          <w:i/>
          <w:sz w:val="20"/>
        </w:rPr>
        <w:t>B. Anomaly Detection Algorithms</w:t>
      </w:r>
    </w:p>
    <w:p>
      <w:pPr>
        <w:spacing w:before="0" w:after="80"/>
        <w:ind w:firstLine="259"/>
        <w:jc w:val="both"/>
      </w:pPr>
      <w:r>
        <w:rPr>
          <w:rFonts w:ascii="Times New Roman" w:hAnsi="Times New Roman"/>
          <w:b w:val="0"/>
          <w:i w:val="0"/>
          <w:sz w:val="20"/>
        </w:rPr>
        <w:t xml:space="preserve">IsolationForest, introduced by Liu et al. </w:t>
      </w:r>
      <w:r>
        <w:rPr>
          <w:rFonts w:ascii="Times New Roman" w:hAnsi="Times New Roman"/>
          <w:b w:val="0"/>
          <w:i w:val="0"/>
          <w:sz w:val="18"/>
        </w:rPr>
        <w:t>[10]</w:t>
      </w:r>
      <w:r>
        <w:rPr>
          <w:rFonts w:ascii="Times New Roman" w:hAnsi="Times New Roman"/>
          <w:b w:val="0"/>
          <w:i w:val="0"/>
          <w:sz w:val="20"/>
        </w:rPr>
        <w:t xml:space="preserve">, is a tree-based anomaly detection algorithm that identifies anomalies by isolating observations through recursive random partitioning. Anomalous observations are those that require fewer splits to isolate, yielding a lower anomaly score. The algorithm is particularly suited to high-dimensional, mixed-type data with no prior distributional assumptions — a profile that matches industrial effluent sensor readings, where parameters such as BOD, pH, TSS, and temperature are measured at different scales and under varying operational conditions. IsolationForest has been extended with deep representation learning in the Deep Isolation Forest </w:t>
      </w:r>
      <w:r>
        <w:rPr>
          <w:rFonts w:ascii="Times New Roman" w:hAnsi="Times New Roman"/>
          <w:b w:val="0"/>
          <w:i w:val="0"/>
          <w:sz w:val="18"/>
        </w:rPr>
        <w:t>[11]</w:t>
      </w:r>
      <w:r>
        <w:rPr>
          <w:rFonts w:ascii="Times New Roman" w:hAnsi="Times New Roman"/>
          <w:b w:val="0"/>
          <w:i w:val="0"/>
          <w:sz w:val="20"/>
        </w:rPr>
        <w:t xml:space="preserve">, which applies random isolation in learned feature spaces and improves detection of complex anomaly patterns. Ensemble anomaly detection approaches applied to smart water metering demonstrate that combining IsolationForest with complementary detectors improves precision on sparse anomaly datasets </w:t>
      </w:r>
      <w:r>
        <w:rPr>
          <w:rFonts w:ascii="Times New Roman" w:hAnsi="Times New Roman"/>
          <w:b w:val="0"/>
          <w:i w:val="0"/>
          <w:sz w:val="18"/>
        </w:rPr>
        <w:t>[12]</w:t>
      </w:r>
      <w:r>
        <w:rPr>
          <w:rFonts w:ascii="Times New Roman" w:hAnsi="Times New Roman"/>
          <w:b w:val="0"/>
          <w:i w:val="0"/>
          <w:sz w:val="20"/>
        </w:rPr>
        <w:t>.</w:t>
      </w:r>
    </w:p>
    <w:p>
      <w:pPr>
        <w:spacing w:before="100" w:after="40"/>
        <w:ind w:firstLine="0"/>
        <w:jc w:val="left"/>
      </w:pPr>
      <w:r>
        <w:rPr>
          <w:rFonts w:ascii="Times New Roman" w:hAnsi="Times New Roman"/>
          <w:b w:val="0"/>
          <w:i/>
          <w:sz w:val="20"/>
        </w:rPr>
        <w:t>C. Multi-Agent AI Systems</w:t>
      </w:r>
    </w:p>
    <w:p>
      <w:pPr>
        <w:spacing w:before="0" w:after="80"/>
        <w:ind w:firstLine="259"/>
        <w:jc w:val="both"/>
      </w:pPr>
      <w:r>
        <w:rPr>
          <w:rFonts w:ascii="Times New Roman" w:hAnsi="Times New Roman"/>
          <w:b w:val="0"/>
          <w:i w:val="0"/>
          <w:sz w:val="20"/>
        </w:rPr>
        <w:t xml:space="preserve">Large-scale empirical studies of production multi-agent AI systems identify key design principles for reliability: agents should have well-defined responsibility boundaries, communicate through structured data interfaces rather than natural language, and fail independently without cascading failures to other agents </w:t>
      </w:r>
      <w:r>
        <w:rPr>
          <w:rFonts w:ascii="Times New Roman" w:hAnsi="Times New Roman"/>
          <w:b w:val="0"/>
          <w:i w:val="0"/>
          <w:sz w:val="18"/>
        </w:rPr>
        <w:t>[13]</w:t>
      </w:r>
      <w:r>
        <w:rPr>
          <w:rFonts w:ascii="Times New Roman" w:hAnsi="Times New Roman"/>
          <w:b w:val="0"/>
          <w:i w:val="0"/>
          <w:sz w:val="20"/>
        </w:rPr>
        <w:t xml:space="preserve">. These principles directly inform the agent decomposition design presented in this paper. Multi-agent LLM frameworks have been proposed for wastewater treatment plant optimisation, demonstrating that specialised agents for data retrieval, anomaly diagnosis, and operator Q&amp;A can cooperate effectively when orchestrated through a shared state interface </w:t>
      </w:r>
      <w:r>
        <w:rPr>
          <w:rFonts w:ascii="Times New Roman" w:hAnsi="Times New Roman"/>
          <w:b w:val="0"/>
          <w:i w:val="0"/>
          <w:sz w:val="18"/>
        </w:rPr>
        <w:t>[14]</w:t>
      </w:r>
      <w:r>
        <w:rPr>
          <w:rFonts w:ascii="Times New Roman" w:hAnsi="Times New Roman"/>
          <w:b w:val="0"/>
          <w:i w:val="0"/>
          <w:sz w:val="20"/>
        </w:rPr>
        <w:t xml:space="preserve">. Agent-based condition monitoring with multimodal retrieval augmented generation has been demonstrated for industrial equipment, providing a precedent for the PreventiveAgent design in this paper </w:t>
      </w:r>
      <w:r>
        <w:rPr>
          <w:rFonts w:ascii="Times New Roman" w:hAnsi="Times New Roman"/>
          <w:b w:val="0"/>
          <w:i w:val="0"/>
          <w:sz w:val="18"/>
        </w:rPr>
        <w:t>[15]</w:t>
      </w:r>
      <w:r>
        <w:rPr>
          <w:rFonts w:ascii="Times New Roman" w:hAnsi="Times New Roman"/>
          <w:b w:val="0"/>
          <w:i w:val="0"/>
          <w:sz w:val="20"/>
        </w:rPr>
        <w:t>.</w:t>
      </w:r>
    </w:p>
    <w:p>
      <w:pPr>
        <w:spacing w:before="100" w:after="40"/>
        <w:ind w:firstLine="0"/>
        <w:jc w:val="left"/>
      </w:pPr>
      <w:r>
        <w:rPr>
          <w:rFonts w:ascii="Times New Roman" w:hAnsi="Times New Roman"/>
          <w:b w:val="0"/>
          <w:i/>
          <w:sz w:val="20"/>
        </w:rPr>
        <w:t>D. Modular and Microservice Architectures for ML Systems</w:t>
      </w:r>
    </w:p>
    <w:p>
      <w:pPr>
        <w:spacing w:before="0" w:after="80"/>
        <w:ind w:firstLine="259"/>
        <w:jc w:val="both"/>
      </w:pPr>
      <w:r>
        <w:rPr>
          <w:rFonts w:ascii="Times New Roman" w:hAnsi="Times New Roman"/>
          <w:b w:val="0"/>
          <w:i w:val="0"/>
          <w:sz w:val="20"/>
        </w:rPr>
        <w:t xml:space="preserve">The architecture of scalable ML inference systems has received increasing attention as ML deployments move from research prototypes to production services. End-to-end architectures for real-time IoT analytics with stream processing and ML pipelines demonstrate that shared, lazily initialised model objects are critical for achieving low-latency inference without incurring repeated model-load overhead </w:t>
      </w:r>
      <w:r>
        <w:rPr>
          <w:rFonts w:ascii="Times New Roman" w:hAnsi="Times New Roman"/>
          <w:b w:val="0"/>
          <w:i w:val="0"/>
          <w:sz w:val="18"/>
        </w:rPr>
        <w:t>[16]</w:t>
      </w:r>
      <w:r>
        <w:rPr>
          <w:rFonts w:ascii="Times New Roman" w:hAnsi="Times New Roman"/>
          <w:b w:val="0"/>
          <w:i w:val="0"/>
          <w:sz w:val="20"/>
        </w:rPr>
        <w:t xml:space="preserve">. Two-step ML approaches that separate anomaly detection from classification demonstrate that pipelined agent architectures can achieve higher accuracy than single-stage models on the same task </w:t>
      </w:r>
      <w:r>
        <w:rPr>
          <w:rFonts w:ascii="Times New Roman" w:hAnsi="Times New Roman"/>
          <w:b w:val="0"/>
          <w:i w:val="0"/>
          <w:sz w:val="18"/>
        </w:rPr>
        <w:t>[17]</w:t>
      </w:r>
      <w:r>
        <w:rPr>
          <w:rFonts w:ascii="Times New Roman" w:hAnsi="Times New Roman"/>
          <w:b w:val="0"/>
          <w:i w:val="0"/>
          <w:sz w:val="20"/>
        </w:rPr>
        <w:t xml:space="preserve">. Microservice architecture patterns for scalable ML systems identify stateless inference services, health-check endpoints, and graceful degradation under model unavailability as the three most important properties for production ML deployments </w:t>
      </w:r>
      <w:r>
        <w:rPr>
          <w:rFonts w:ascii="Times New Roman" w:hAnsi="Times New Roman"/>
          <w:b w:val="0"/>
          <w:i w:val="0"/>
          <w:sz w:val="18"/>
        </w:rPr>
        <w:t>[18]</w:t>
      </w:r>
      <w:r>
        <w:rPr>
          <w:rFonts w:ascii="Times New Roman" w:hAnsi="Times New Roman"/>
          <w:b w:val="0"/>
          <w:i w:val="0"/>
          <w:sz w:val="20"/>
        </w:rPr>
        <w:t xml:space="preserve">. AI and IoT-driven modular monitoring systems demonstrate that a common sensor data integration interface enables multi-tenant use cases without duplicating inference logic </w:t>
      </w:r>
      <w:r>
        <w:rPr>
          <w:rFonts w:ascii="Times New Roman" w:hAnsi="Times New Roman"/>
          <w:b w:val="0"/>
          <w:i w:val="0"/>
          <w:sz w:val="18"/>
        </w:rPr>
        <w:t>[19]</w:t>
      </w:r>
      <w:r>
        <w:rPr>
          <w:rFonts w:ascii="Times New Roman" w:hAnsi="Times New Roman"/>
          <w:b w:val="0"/>
          <w:i w:val="0"/>
          <w:sz w:val="20"/>
        </w:rPr>
        <w:t xml:space="preserve">. Federated architectures for predictive maintenance confirm that modular agent designs support independent updates to individual agents without disrupting the broader pipeline </w:t>
      </w:r>
      <w:r>
        <w:rPr>
          <w:rFonts w:ascii="Times New Roman" w:hAnsi="Times New Roman"/>
          <w:b w:val="0"/>
          <w:i w:val="0"/>
          <w:sz w:val="18"/>
        </w:rPr>
        <w:t>[20]</w:t>
      </w:r>
      <w:r>
        <w:rPr>
          <w:rFonts w:ascii="Times New Roman" w:hAnsi="Times New Roman"/>
          <w:b w:val="0"/>
          <w:i w:val="0"/>
          <w:sz w:val="20"/>
        </w:rPr>
        <w:t>.</w:t>
      </w:r>
    </w:p>
    <w:p>
      <w:pPr>
        <w:spacing w:before="160" w:after="60"/>
        <w:ind w:firstLine="0"/>
        <w:jc w:val="center"/>
      </w:pPr>
      <w:r>
        <w:rPr>
          <w:rFonts w:ascii="Times New Roman" w:hAnsi="Times New Roman"/>
          <w:b/>
          <w:i w:val="0"/>
          <w:sz w:val="20"/>
        </w:rPr>
        <w:t>III.  SYSTEM DESIGN</w:t>
      </w:r>
    </w:p>
    <w:p>
      <w:pPr>
        <w:spacing w:before="100" w:after="40"/>
        <w:ind w:firstLine="0"/>
        <w:jc w:val="left"/>
      </w:pPr>
      <w:r>
        <w:rPr>
          <w:rFonts w:ascii="Times New Roman" w:hAnsi="Times New Roman"/>
          <w:b w:val="0"/>
          <w:i/>
          <w:sz w:val="20"/>
        </w:rPr>
        <w:t>A. Agent Decomposition</w:t>
      </w:r>
    </w:p>
    <w:p>
      <w:pPr>
        <w:spacing w:before="0" w:after="80"/>
        <w:ind w:firstLine="259"/>
        <w:jc w:val="both"/>
      </w:pPr>
      <w:r>
        <w:rPr>
          <w:rFonts w:ascii="Times New Roman" w:hAnsi="Times New Roman"/>
          <w:b w:val="0"/>
          <w:i w:val="0"/>
          <w:sz w:val="20"/>
        </w:rPr>
        <w:t>The system decomposes the wastewater intelligence problem into four cooperating agents, each with a single well-defined responsibility. This decomposition was driven by three criteria: functional orthogonality (each agent's responsibility must not overlap with another's), independent testability (each agent must be executable in isolation), and fault isolation (a failure in one agent must not prevent the others from serving their outputs).</w:t>
      </w:r>
    </w:p>
    <w:p>
      <w:pPr>
        <w:spacing w:before="0" w:after="80"/>
        <w:ind w:firstLine="259"/>
        <w:jc w:val="both"/>
      </w:pPr>
      <w:r>
        <w:rPr>
          <w:rFonts w:ascii="Times New Roman" w:hAnsi="Times New Roman"/>
          <w:b w:val="0"/>
          <w:i w:val="0"/>
          <w:sz w:val="20"/>
        </w:rPr>
      </w:r>
      <w:r>
        <w:rPr>
          <w:rFonts w:ascii="Times New Roman" w:hAnsi="Times New Roman"/>
          <w:b/>
          <w:i w:val="0"/>
          <w:sz w:val="20"/>
        </w:rPr>
        <w:t>DataAgent</w:t>
      </w:r>
      <w:r>
        <w:rPr>
          <w:rFonts w:ascii="Times New Roman" w:hAnsi="Times New Roman"/>
          <w:b w:val="0"/>
          <w:i w:val="0"/>
          <w:sz w:val="20"/>
        </w:rPr>
        <w:t xml:space="preserve"> is responsible exclusively for data access and statistical characterisation. It wraps a CSVLoader utility that reads industry-specific effluent data files, applies column standardisation to handle naming variants across datasets, and computes descriptive statistics (mean, standard deviation, min, max, percentiles) per parameter. It exposes no model inference logic. Its output is a statistics dictionary consumed downstream by both the AnalysisAgent and the REST API's industry statistics endpoint.</w:t>
      </w:r>
    </w:p>
    <w:p>
      <w:pPr>
        <w:spacing w:before="0" w:after="80"/>
        <w:ind w:firstLine="259"/>
        <w:jc w:val="both"/>
      </w:pPr>
      <w:r>
        <w:rPr>
          <w:rFonts w:ascii="Times New Roman" w:hAnsi="Times New Roman"/>
          <w:b w:val="0"/>
          <w:i w:val="0"/>
          <w:sz w:val="20"/>
        </w:rPr>
      </w:r>
      <w:r>
        <w:rPr>
          <w:rFonts w:ascii="Times New Roman" w:hAnsi="Times New Roman"/>
          <w:b/>
          <w:i w:val="0"/>
          <w:sz w:val="20"/>
        </w:rPr>
        <w:t>AnalysisAgent</w:t>
      </w:r>
      <w:r>
        <w:rPr>
          <w:rFonts w:ascii="Times New Roman" w:hAnsi="Times New Roman"/>
          <w:b w:val="0"/>
          <w:i w:val="0"/>
          <w:sz w:val="20"/>
        </w:rPr>
        <w:t xml:space="preserve"> is the core ML orchestrator for wastewater analysis. It manages a ModelRegistry that loads three model artifacts — an anomaly detector (IsolationForest), a treatment classifier (Random Forest), and a set of parameter forecasters — from serialised pickle files at first access and caches them for the server lifetime. On each analysis request, it runs the three models sequentially on the input sample, aggregates their outputs, and applies CPCB/EPA threshold checking to produce a unified AnalysisResult. If a model artifact is missing or corrupt, the AnalysisAgent falls back to rule-based heuristics for that specific sub-task while continuing to serve results from the other models.</w:t>
      </w:r>
    </w:p>
    <w:p>
      <w:pPr>
        <w:spacing w:before="0" w:after="80"/>
        <w:ind w:firstLine="259"/>
        <w:jc w:val="both"/>
      </w:pPr>
      <w:r>
        <w:rPr>
          <w:rFonts w:ascii="Times New Roman" w:hAnsi="Times New Roman"/>
          <w:b w:val="0"/>
          <w:i w:val="0"/>
          <w:sz w:val="20"/>
        </w:rPr>
      </w:r>
      <w:r>
        <w:rPr>
          <w:rFonts w:ascii="Times New Roman" w:hAnsi="Times New Roman"/>
          <w:b/>
          <w:i w:val="0"/>
          <w:sz w:val="20"/>
        </w:rPr>
        <w:t>LLMAgent</w:t>
      </w:r>
      <w:r>
        <w:rPr>
          <w:rFonts w:ascii="Times New Roman" w:hAnsi="Times New Roman"/>
          <w:b w:val="0"/>
          <w:i w:val="0"/>
          <w:sz w:val="20"/>
        </w:rPr>
        <w:t xml:space="preserve"> accepts the AnalysisResult and generates natural language and structured prescriptive insights via Google Gemini. It operates two independent pipelines: a qualitative wastewater pipeline that produces per-parameter chemical treatment prescriptions in a Pydantic-validated JSON structure, and a preventive maintenance pipeline that generates maintenance action plans for flagged equipment units. Both pipelines fall back to template responses if the Gemini API is unavailable, ensuring that LLM unavailability never blocks the full analysis response.</w:t>
      </w:r>
    </w:p>
    <w:p>
      <w:pPr>
        <w:spacing w:before="0" w:after="80"/>
        <w:ind w:firstLine="259"/>
        <w:jc w:val="both"/>
      </w:pPr>
      <w:r>
        <w:rPr>
          <w:rFonts w:ascii="Times New Roman" w:hAnsi="Times New Roman"/>
          <w:b w:val="0"/>
          <w:i w:val="0"/>
          <w:sz w:val="20"/>
        </w:rPr>
      </w:r>
      <w:r>
        <w:rPr>
          <w:rFonts w:ascii="Times New Roman" w:hAnsi="Times New Roman"/>
          <w:b/>
          <w:i w:val="0"/>
          <w:sz w:val="20"/>
        </w:rPr>
        <w:t>PreventiveAgent</w:t>
      </w:r>
      <w:r>
        <w:rPr>
          <w:rFonts w:ascii="Times New Roman" w:hAnsi="Times New Roman"/>
          <w:b w:val="0"/>
          <w:i w:val="0"/>
          <w:sz w:val="20"/>
        </w:rPr>
        <w:t xml:space="preserve"> handles equipment health monitoring independently of the wastewater analysis pipeline. It loads an IsolationForest model trained on synthetic sound, vibration, and temperature sensor data calibrated to ISO 10816 zone boundaries. It resolves industry-specific equipment rosters, runs per-unit health scoring, applies ISO threshold checks, and aggregates results into a FleetAnalysisResult that the LLMAgent then uses to generate maintenance prescriptions.</w:t>
      </w:r>
    </w:p>
    <w:tbl>
      <w:tblPr>
        <w:tblW w:type="auto" w:w="0"/>
        <w:jc w:val="center"/>
        <w:tblLook w:firstColumn="1" w:firstRow="1" w:lastColumn="0" w:lastRow="0" w:noHBand="0" w:noVBand="1" w:val="04A0"/>
      </w:tblPr>
      <w:tblGrid>
        <w:gridCol w:w="10286"/>
      </w:tblGrid>
      <w:tr>
        <w:tc>
          <w:tcPr>
            <w:tcW w:type="dxa" w:w="10286"/>
            <w:shd w:val="clear" w:color="auto" w:fill="F5F5F5"/>
            <w:tcBorders>
              <w:top w:val="single" w:sz="4" w:space="0" w:color="000000"/>
              <w:bottom w:val="single" w:sz="4" w:space="0" w:color="000000"/>
              <w:left w:val="single" w:sz="4" w:space="0" w:color="000000"/>
              <w:right w:val="single" w:sz="4" w:space="0" w:color="000000"/>
            </w:tcBorders>
          </w:tcPr>
          <w:p>
            <w:r/>
          </w:p>
          <w:p>
            <w:pPr>
              <w:spacing w:before="0" w:after="0"/>
              <w:ind w:firstLine="0"/>
            </w:pPr>
            <w:r>
              <w:rPr>
                <w:rFonts w:ascii="Courier New" w:hAnsi="Courier New"/>
                <w:sz w:val="16"/>
              </w:rPr>
              <w:t xml:space="preserve">  HTTP Request</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Flask REST API              │</w:t>
            </w:r>
          </w:p>
          <w:p>
            <w:pPr>
              <w:spacing w:before="0" w:after="0"/>
              <w:ind w:firstLine="0"/>
            </w:pPr>
            <w:r>
              <w:rPr>
                <w:rFonts w:ascii="Courier New" w:hAnsi="Courier New"/>
                <w:sz w:val="16"/>
              </w:rPr>
              <w:t xml:space="preserve">  │  /analyze/with-insights               │</w:t>
            </w:r>
          </w:p>
          <w:p>
            <w:pPr>
              <w:spacing w:before="0" w:after="0"/>
              <w:ind w:firstLine="0"/>
            </w:pPr>
            <w:r>
              <w:rPr>
                <w:rFonts w:ascii="Courier New" w:hAnsi="Courier New"/>
                <w:sz w:val="16"/>
              </w:rPr>
              <w:t xml:space="preserve">  │  /preventive/analyze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Data │ │Analysis│ │  Preventive     │</w:t>
            </w:r>
          </w:p>
          <w:p>
            <w:pPr>
              <w:spacing w:before="0" w:after="0"/>
              <w:ind w:firstLine="0"/>
            </w:pPr>
            <w:r>
              <w:rPr>
                <w:rFonts w:ascii="Courier New" w:hAnsi="Courier New"/>
                <w:sz w:val="16"/>
              </w:rPr>
              <w:t xml:space="preserve">  │ Agent│ │ Agent  │ │  Agent          │</w:t>
            </w:r>
          </w:p>
          <w:p>
            <w:pPr>
              <w:spacing w:before="0" w:after="0"/>
              <w:ind w:firstLine="0"/>
            </w:pPr>
            <w:r>
              <w:rPr>
                <w:rFonts w:ascii="Courier New" w:hAnsi="Courier New"/>
                <w:sz w:val="16"/>
              </w:rPr>
              <w:t xml:space="preserve">  │      │ │(Model  │ │(Equipment IF +  │</w:t>
            </w:r>
          </w:p>
          <w:p>
            <w:pPr>
              <w:spacing w:before="0" w:after="0"/>
              <w:ind w:firstLine="0"/>
            </w:pPr>
            <w:r>
              <w:rPr>
                <w:rFonts w:ascii="Courier New" w:hAnsi="Courier New"/>
                <w:sz w:val="16"/>
              </w:rPr>
              <w:t xml:space="preserve">  │ CSV  │ │Registry│ │ ISO 10816)      │</w:t>
            </w:r>
          </w:p>
          <w:p>
            <w:pPr>
              <w:spacing w:before="0" w:after="0"/>
              <w:ind w:firstLine="0"/>
            </w:pPr>
            <w:r>
              <w:rPr>
                <w:rFonts w:ascii="Courier New" w:hAnsi="Courier New"/>
                <w:sz w:val="16"/>
              </w:rPr>
              <w:t xml:space="preserve">  │Loader│ │ IF+RF  │ └────────┬────────┘</w:t>
            </w:r>
          </w:p>
          <w:p>
            <w:pPr>
              <w:spacing w:before="0" w:after="0"/>
              <w:ind w:firstLine="0"/>
            </w:pPr>
            <w:r>
              <w:rPr>
                <w:rFonts w:ascii="Courier New" w:hAnsi="Courier New"/>
                <w:sz w:val="16"/>
              </w:rPr>
              <w:t xml:space="preserve">  └──────┘ │+Fcst)  │          │</w:t>
            </w:r>
          </w:p>
          <w:p>
            <w:pPr>
              <w:spacing w:before="0" w:after="0"/>
              <w:ind w:firstLine="0"/>
            </w:pPr>
            <w:r>
              <w:rPr>
                <w:rFonts w:ascii="Courier New" w:hAnsi="Courier New"/>
                <w:sz w:val="16"/>
              </w:rPr>
              <w:t xml:space="preserve">           └───┬────┘          │</w:t>
            </w:r>
          </w:p>
          <w:p>
            <w:pPr>
              <w:spacing w:before="0" w:after="0"/>
              <w:ind w:firstLine="0"/>
            </w:pPr>
            <w:r>
              <w:rPr>
                <w:rFonts w:ascii="Courier New" w:hAnsi="Courier New"/>
                <w:sz w:val="16"/>
              </w:rPr>
              <w:t xml:space="preserve">               │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LLMAgent   │</w:t>
            </w:r>
          </w:p>
          <w:p>
            <w:pPr>
              <w:spacing w:before="0" w:after="0"/>
              <w:ind w:firstLine="0"/>
            </w:pPr>
            <w:r>
              <w:rPr>
                <w:rFonts w:ascii="Courier New" w:hAnsi="Courier New"/>
                <w:sz w:val="16"/>
              </w:rPr>
              <w:t xml:space="preserve">               │  (Gemini)    │</w:t>
            </w:r>
          </w:p>
          <w:p>
            <w:pPr>
              <w:spacing w:before="0" w:after="0"/>
              <w:ind w:firstLine="0"/>
            </w:pPr>
            <w:r>
              <w:rPr>
                <w:rFonts w:ascii="Courier New" w:hAnsi="Courier New"/>
                <w:sz w:val="16"/>
              </w:rPr>
              <w:t xml:space="preserve">               └───────────────┘</w:t>
            </w:r>
          </w:p>
        </w:tc>
      </w:tr>
    </w:tbl>
    <w:p>
      <w:pPr>
        <w:spacing w:before="80" w:after="120"/>
        <w:ind w:firstLine="0"/>
        <w:jc w:val="center"/>
      </w:pPr>
      <w:r>
        <w:rPr>
          <w:rFonts w:ascii="Times New Roman" w:hAnsi="Times New Roman"/>
          <w:b w:val="0"/>
          <w:i w:val="0"/>
          <w:sz w:val="18"/>
        </w:rPr>
        <w:t>Fig. 1.  Four-agent pipeline architecture and request routing.</w:t>
      </w:r>
    </w:p>
    <w:p>
      <w:pPr>
        <w:spacing w:before="100" w:after="40"/>
        <w:ind w:firstLine="0"/>
        <w:jc w:val="left"/>
      </w:pPr>
      <w:r>
        <w:rPr>
          <w:rFonts w:ascii="Times New Roman" w:hAnsi="Times New Roman"/>
          <w:b w:val="0"/>
          <w:i/>
          <w:sz w:val="20"/>
        </w:rPr>
        <w:t>B. ModelRegistry and Lazy Initialisation</w:t>
      </w:r>
    </w:p>
    <w:p>
      <w:pPr>
        <w:spacing w:before="0" w:after="80"/>
        <w:ind w:firstLine="259"/>
        <w:jc w:val="both"/>
      </w:pPr>
      <w:r>
        <w:rPr>
          <w:rFonts w:ascii="Times New Roman" w:hAnsi="Times New Roman"/>
          <w:b w:val="0"/>
          <w:i w:val="0"/>
          <w:sz w:val="20"/>
        </w:rPr>
        <w:t>A critical design decision is the initialisation strategy for ML models. Loading pickle serialised scikit-learn pipelines at import time blocks the server startup process and fails loudly if a model file is absent. Loading models per-request incurs 200–800 ms overhead on each call due to deserialization and memory allocation. The system adopts lazy global initialisation: each agent is instantiated as a module-level variable assigned to None at import time. A get_agent() accessor function checks whether the instance is None; if so, it constructs the agent (which in turn performs model loading) and caches the result in the module variable. All subsequent requests retrieve the cached instance. This approach produces a single model-load per server lifetime while keeping startup non-blocking and tolerating missing model files gracefully.</w:t>
      </w:r>
    </w:p>
    <w:p>
      <w:pPr>
        <w:spacing w:before="100" w:after="40"/>
        <w:ind w:firstLine="0"/>
        <w:jc w:val="center"/>
      </w:pPr>
      <w:r>
        <w:rPr>
          <w:rFonts w:ascii="Times New Roman" w:hAnsi="Times New Roman"/>
          <w:b w:val="0"/>
          <w:i/>
          <w:sz w:val="18"/>
        </w:rPr>
        <w:t>Listing 1. Lazy Global Initialisation Pattern (AnalysisAgent)</w:t>
      </w:r>
    </w:p>
    <w:p>
      <w:pPr>
        <w:spacing w:before="0" w:after="0"/>
        <w:ind w:firstLine="0"/>
        <w:jc w:val="left"/>
        <w:shd w:val="clear" w:color="auto" w:fill="F2F2F2"/>
      </w:pPr>
      <w:r>
        <w:rPr>
          <w:rFonts w:ascii="Courier New" w:hAnsi="Courier New"/>
          <w:sz w:val="16"/>
        </w:rPr>
        <w:t># agents/analysis_agent.py</w:t>
      </w:r>
    </w:p>
    <w:p>
      <w:pPr>
        <w:spacing w:before="0" w:after="0"/>
        <w:ind w:firstLine="0"/>
        <w:jc w:val="left"/>
        <w:shd w:val="clear" w:color="auto" w:fill="F2F2F2"/>
      </w:pPr>
      <w:r>
        <w:rPr>
          <w:rFonts w:ascii="Courier New" w:hAnsi="Courier New"/>
          <w:sz w:val="16"/>
        </w:rPr>
        <w:t>_analysis_agent = None</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def get_analysis_agent():</w:t>
      </w:r>
    </w:p>
    <w:p>
      <w:pPr>
        <w:spacing w:before="0" w:after="0"/>
        <w:ind w:firstLine="0"/>
        <w:jc w:val="left"/>
        <w:shd w:val="clear" w:color="auto" w:fill="F2F2F2"/>
      </w:pPr>
      <w:r>
        <w:rPr>
          <w:rFonts w:ascii="Courier New" w:hAnsi="Courier New"/>
          <w:sz w:val="16"/>
        </w:rPr>
        <w:t xml:space="preserve">    global _analysis_agent</w:t>
      </w:r>
    </w:p>
    <w:p>
      <w:pPr>
        <w:spacing w:before="0" w:after="0"/>
        <w:ind w:firstLine="0"/>
        <w:jc w:val="left"/>
        <w:shd w:val="clear" w:color="auto" w:fill="F2F2F2"/>
      </w:pPr>
      <w:r>
        <w:rPr>
          <w:rFonts w:ascii="Courier New" w:hAnsi="Courier New"/>
          <w:sz w:val="16"/>
        </w:rPr>
        <w:t xml:space="preserve">    if _analysis_agent is None:</w:t>
      </w:r>
    </w:p>
    <w:p>
      <w:pPr>
        <w:spacing w:before="0" w:after="0"/>
        <w:ind w:firstLine="0"/>
        <w:jc w:val="left"/>
        <w:shd w:val="clear" w:color="auto" w:fill="F2F2F2"/>
      </w:pPr>
      <w:r>
        <w:rPr>
          <w:rFonts w:ascii="Courier New" w:hAnsi="Courier New"/>
          <w:sz w:val="16"/>
        </w:rPr>
        <w:t xml:space="preserve">        _analysis_agent = AnalysisAgent()</w:t>
      </w:r>
    </w:p>
    <w:p>
      <w:pPr>
        <w:spacing w:before="0" w:after="0"/>
        <w:ind w:firstLine="0"/>
        <w:jc w:val="left"/>
        <w:shd w:val="clear" w:color="auto" w:fill="F2F2F2"/>
      </w:pPr>
      <w:r>
        <w:rPr>
          <w:rFonts w:ascii="Courier New" w:hAnsi="Courier New"/>
          <w:sz w:val="16"/>
        </w:rPr>
        <w:t xml:space="preserve">    return _analysis_agent</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 In app.py route handler:</w:t>
      </w:r>
    </w:p>
    <w:p>
      <w:pPr>
        <w:spacing w:before="0" w:after="0"/>
        <w:ind w:firstLine="0"/>
        <w:jc w:val="left"/>
        <w:shd w:val="clear" w:color="auto" w:fill="F2F2F2"/>
      </w:pPr>
      <w:r>
        <w:rPr>
          <w:rFonts w:ascii="Courier New" w:hAnsi="Courier New"/>
          <w:sz w:val="16"/>
        </w:rPr>
        <w:t>agent = get_analysis_agent()   # no-op after first call</w:t>
      </w:r>
    </w:p>
    <w:p>
      <w:pPr>
        <w:spacing w:before="0" w:after="0"/>
        <w:ind w:firstLine="0"/>
        <w:jc w:val="left"/>
        <w:shd w:val="clear" w:color="auto" w:fill="F2F2F2"/>
      </w:pPr>
      <w:r>
        <w:rPr>
          <w:rFonts w:ascii="Courier New" w:hAnsi="Courier New"/>
          <w:sz w:val="16"/>
        </w:rPr>
        <w:t>result = agent.analyze(sample)</w:t>
      </w:r>
    </w:p>
    <w:p>
      <w:pPr>
        <w:spacing w:after="80"/>
      </w:pPr>
    </w:p>
    <w:p>
      <w:pPr>
        <w:spacing w:before="100" w:after="40"/>
        <w:ind w:firstLine="0"/>
        <w:jc w:val="left"/>
      </w:pPr>
      <w:r>
        <w:rPr>
          <w:rFonts w:ascii="Times New Roman" w:hAnsi="Times New Roman"/>
          <w:b w:val="0"/>
          <w:i/>
          <w:sz w:val="20"/>
        </w:rPr>
        <w:t>C. Agent Interaction Protocol</w:t>
      </w:r>
    </w:p>
    <w:p>
      <w:pPr>
        <w:spacing w:before="0" w:after="80"/>
        <w:ind w:firstLine="259"/>
        <w:jc w:val="both"/>
      </w:pPr>
      <w:r>
        <w:rPr>
          <w:rFonts w:ascii="Times New Roman" w:hAnsi="Times New Roman"/>
          <w:b w:val="0"/>
          <w:i w:val="0"/>
          <w:sz w:val="20"/>
        </w:rPr>
        <w:t>Agents interact through structured Python data objects rather than raw dictionaries or natural language strings. The AnalysisAgent produces an AnalysisResult dataclass whose to_dict() method sanitises numpy scalar types (numpy.float64 → Python float, numpy.int64 → Python int) before JSON serialisation. This sanitisation step prevents TypeError exceptions during jsonify() when numpy scalars are returned by sklearn predict() calls. The PreventiveAgent produces a FleetAnalysisResult that the LLMAgent consumes directly; neither the Flask route handler nor any intermediate layer transforms the data between these agents.</w:t>
      </w:r>
    </w:p>
    <w:p>
      <w:pPr>
        <w:spacing w:before="0" w:after="80"/>
        <w:ind w:firstLine="259"/>
        <w:jc w:val="both"/>
      </w:pPr>
      <w:r>
        <w:rPr>
          <w:rFonts w:ascii="Times New Roman" w:hAnsi="Times New Roman"/>
          <w:b w:val="0"/>
          <w:i w:val="0"/>
          <w:sz w:val="20"/>
        </w:rPr>
        <w:t>The LLMAgent receives the AnalysisResult or FleetAnalysisResult as its input and constructs the Gemini prompt from it. The prompt is always constructed programmatically from the structured data — the LLMAgent never parses text output from other agents. This structured interface boundary ensures that an upstream agent's output format change does not silently corrupt the LLM prompt: a missing field raises a KeyError at prompt construction time, making failures explicit rather than silent.</w:t>
      </w:r>
    </w:p>
    <w:p>
      <w:pPr>
        <w:spacing w:before="160" w:after="40"/>
        <w:ind w:firstLine="0"/>
        <w:jc w:val="center"/>
      </w:pPr>
      <w:r>
        <w:rPr>
          <w:rFonts w:ascii="Times New Roman" w:hAnsi="Times New Roman"/>
          <w:b/>
          <w:i w:val="0"/>
          <w:sz w:val="18"/>
        </w:rPr>
        <w:t>TABLE I.   FOUR-AGENT RESPONSIBILITY MATRIX</w:t>
      </w:r>
    </w:p>
    <w:tbl>
      <w:tblPr>
        <w:tblStyle w:val="TableGrid"/>
        <w:tblW w:type="auto" w:w="0"/>
        <w:jc w:val="center"/>
        <w:tblLook w:firstColumn="1" w:firstRow="1" w:lastColumn="0" w:lastRow="0" w:noHBand="0" w:noVBand="1" w:val="04A0"/>
      </w:tblPr>
      <w:tblGrid>
        <w:gridCol w:w="2571"/>
        <w:gridCol w:w="2571"/>
        <w:gridCol w:w="2571"/>
        <w:gridCol w:w="2571"/>
      </w:tblGrid>
      <w:tr>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Agent</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Input</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Core Models</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Output</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DataAgent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Industry ID</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CSVLoader</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Stats dict</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AnalysisAgent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Sample dict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IF + RF + Forecasters</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AnalysisResult</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LLMAgent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AnalysisResult or</w:t>
              <w:br/>
              <w:t>FleetAnalysisResult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Gemini 1.5</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InsightSchema /</w:t>
              <w:br/>
              <w:t>MaintenanceSchema</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PreventiveAgent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Industry ID +</w:t>
              <w:br/>
              <w:t>Equipment list</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IF + ISO 10816 thresholds</w:t>
            </w:r>
          </w:p>
        </w:tc>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FleetAnalysisResult</w:t>
            </w:r>
          </w:p>
        </w:tc>
      </w:tr>
    </w:tbl>
    <w:p>
      <w:pPr>
        <w:spacing w:after="100" w:before="0"/>
      </w:pPr>
      <w:r>
        <w:rPr>
          <w:sz w:val="8"/>
        </w:rPr>
        <w:t xml:space="preserve"> </w:t>
      </w:r>
    </w:p>
    <w:p>
      <w:pPr>
        <w:spacing w:before="100" w:after="40"/>
        <w:ind w:firstLine="0"/>
        <w:jc w:val="left"/>
      </w:pPr>
      <w:r>
        <w:rPr>
          <w:rFonts w:ascii="Times New Roman" w:hAnsi="Times New Roman"/>
          <w:b w:val="0"/>
          <w:i/>
          <w:sz w:val="20"/>
        </w:rPr>
        <w:t>D. Configuration and Threshold Layer</w:t>
      </w:r>
    </w:p>
    <w:p>
      <w:pPr>
        <w:spacing w:before="0" w:after="80"/>
        <w:ind w:firstLine="259"/>
        <w:jc w:val="both"/>
      </w:pPr>
      <w:r>
        <w:rPr>
          <w:rFonts w:ascii="Times New Roman" w:hAnsi="Times New Roman"/>
          <w:b w:val="0"/>
          <w:i w:val="0"/>
          <w:sz w:val="20"/>
        </w:rPr>
        <w:t>Cross-cutting regulatory and engineering parameters are isolated in a dedicated configuration layer rather than embedded in agent logic. CPCB/EPA effluent discharge limits for eight wastewater parameters are defined in config/thresholds.py; ISO 10816 zone boundaries for sound, vibration, and temperature are defined in config/equipment_thresholds.py; industry-to-equipment roster mappings are defined in config/equipment_registry.py; and industry-to-CSV mappings are defined in config/mappings.py. Agents import from these configuration modules but do not hard-code any threshold values. This design means regulatory limit updates require changes in a single file rather than across multiple agent implementations.</w:t>
      </w:r>
    </w:p>
    <w:p>
      <w:pPr>
        <w:spacing w:before="160" w:after="60"/>
        <w:ind w:firstLine="0"/>
        <w:jc w:val="center"/>
      </w:pPr>
      <w:r>
        <w:rPr>
          <w:rFonts w:ascii="Times New Roman" w:hAnsi="Times New Roman"/>
          <w:b/>
          <w:i w:val="0"/>
          <w:sz w:val="20"/>
        </w:rPr>
        <w:t>IV.  ORCHESTRATION LAYER</w:t>
      </w:r>
    </w:p>
    <w:p>
      <w:pPr>
        <w:spacing w:before="100" w:after="40"/>
        <w:ind w:firstLine="0"/>
        <w:jc w:val="left"/>
      </w:pPr>
      <w:r>
        <w:rPr>
          <w:rFonts w:ascii="Times New Roman" w:hAnsi="Times New Roman"/>
          <w:b w:val="0"/>
          <w:i/>
          <w:sz w:val="20"/>
        </w:rPr>
        <w:t>A. REST API Design</w:t>
      </w:r>
    </w:p>
    <w:p>
      <w:pPr>
        <w:spacing w:before="0" w:after="80"/>
        <w:ind w:firstLine="259"/>
        <w:jc w:val="both"/>
      </w:pPr>
      <w:r>
        <w:rPr>
          <w:rFonts w:ascii="Times New Roman" w:hAnsi="Times New Roman"/>
          <w:b w:val="0"/>
          <w:i w:val="0"/>
          <w:sz w:val="20"/>
        </w:rPr>
        <w:t>The Flask REST API exposes two primary analysis endpoints and a suite of diagnostic and utility endpoints. The primary wastewater endpoint, POST /analyze/with-insights, invokes the DataAgent, AnalysisAgent, and LLMAgent in sequence for a given effluent sample and industry type, returning the full AnalysisResult plus LLM-generated InsightSchema in a single JSON response. The primary equipment endpoint, POST /preventive/analyze, invokes the PreventiveAgent and LLMAgent for a supplied equipment list, returning the FleetAnalysisResult plus MaintenanceSchema. These two primary pipelines are independent — a failure in the wastewater pipeline does not affect equipment analysis and vice versa.</w:t>
      </w:r>
    </w:p>
    <w:p>
      <w:pPr>
        <w:spacing w:before="0" w:after="80"/>
        <w:ind w:firstLine="259"/>
        <w:jc w:val="both"/>
      </w:pPr>
      <w:r>
        <w:rPr>
          <w:rFonts w:ascii="Times New Roman" w:hAnsi="Times New Roman"/>
          <w:b w:val="0"/>
          <w:i w:val="0"/>
          <w:sz w:val="20"/>
        </w:rPr>
        <w:t>GET /health provides a structured health check that verifies the presence of all four model artifact files (anomaly, classification, forecasting, equipment) and the Gemini API key environment variable, returning per-component status to enable rapid diagnosis of partial failures. Training endpoints (POST /train/anomaly, /train/classification, /train/forecasting, /train/all) support on-demand model retraining without server restart, implemented by running the training scripts as subprocess calls from within the route handler and refreshing the global agent instance after training completes.</w:t>
      </w:r>
    </w:p>
    <w:p>
      <w:pPr>
        <w:spacing w:before="100" w:after="40"/>
        <w:ind w:firstLine="0"/>
        <w:jc w:val="left"/>
      </w:pPr>
      <w:r>
        <w:rPr>
          <w:rFonts w:ascii="Times New Roman" w:hAnsi="Times New Roman"/>
          <w:b w:val="0"/>
          <w:i/>
          <w:sz w:val="20"/>
        </w:rPr>
        <w:t>B. Fallback and Degradation Behaviour</w:t>
      </w:r>
    </w:p>
    <w:p>
      <w:pPr>
        <w:spacing w:before="0" w:after="80"/>
        <w:ind w:firstLine="259"/>
        <w:jc w:val="both"/>
      </w:pPr>
      <w:r>
        <w:rPr>
          <w:rFonts w:ascii="Times New Roman" w:hAnsi="Times New Roman"/>
          <w:b w:val="0"/>
          <w:i w:val="0"/>
          <w:sz w:val="20"/>
        </w:rPr>
        <w:t>The system implements independent fallback at each agent boundary. If the anomaly model file is absent, the AnalysisAgent applies rule-based anomaly detection using CPCB threshold checks alone, marking the anomaly detection result as rule-based in the response metadata. If the classification model is absent, a default classification of 'Unknown' is returned with a zero confidence score. If the forecasting models are absent, the forecast section of the AnalysisResult is omitted. In each case, the remaining sub-tasks are still executed — a missing forecasting model does not prevent anomaly detection or classification from running. This partial-degradation behaviour is more informative to API consumers than a complete error response.</w:t>
      </w:r>
    </w:p>
    <w:p>
      <w:pPr>
        <w:spacing w:before="0" w:after="80"/>
        <w:ind w:firstLine="259"/>
        <w:jc w:val="both"/>
      </w:pPr>
      <w:r>
        <w:rPr>
          <w:rFonts w:ascii="Times New Roman" w:hAnsi="Times New Roman"/>
          <w:b w:val="0"/>
          <w:i w:val="0"/>
          <w:sz w:val="20"/>
        </w:rPr>
        <w:t>The LLMAgent fallback operates at the API level rather than the model level. If the Gemini API key is absent or if the API returns an error, the LLMAgent returns a template InsightSchema or MaintenanceSchema populated with generic advisory text. The template response is structurally identical to a real Gemini response — it passes Pydantic validation and is returned through the same code path — so downstream consumers do not need to handle a special fallback case. A 'llm_source' field in the response metadata indicates whether the insight content was generated by Gemini or the template.</w:t>
      </w:r>
    </w:p>
    <w:p>
      <w:pPr>
        <w:spacing w:before="100" w:after="40"/>
        <w:ind w:firstLine="0"/>
        <w:jc w:val="center"/>
      </w:pPr>
      <w:r>
        <w:rPr>
          <w:rFonts w:ascii="Times New Roman" w:hAnsi="Times New Roman"/>
          <w:b w:val="0"/>
          <w:i/>
          <w:sz w:val="18"/>
        </w:rPr>
        <w:t>Listing 2. Fallback Branching in AnalysisAgent.analyze()</w:t>
      </w:r>
    </w:p>
    <w:p>
      <w:pPr>
        <w:spacing w:before="0" w:after="0"/>
        <w:ind w:firstLine="0"/>
        <w:jc w:val="left"/>
        <w:shd w:val="clear" w:color="auto" w:fill="F2F2F2"/>
      </w:pPr>
      <w:r>
        <w:rPr>
          <w:rFonts w:ascii="Courier New" w:hAnsi="Courier New"/>
          <w:sz w:val="16"/>
        </w:rPr>
        <w:t>def analyze(self, sample: dict) -&gt; AnalysisResult:</w:t>
      </w:r>
    </w:p>
    <w:p>
      <w:pPr>
        <w:spacing w:before="0" w:after="0"/>
        <w:ind w:firstLine="0"/>
        <w:jc w:val="left"/>
        <w:shd w:val="clear" w:color="auto" w:fill="F2F2F2"/>
      </w:pPr>
      <w:r>
        <w:rPr>
          <w:rFonts w:ascii="Courier New" w:hAnsi="Courier New"/>
          <w:sz w:val="16"/>
        </w:rPr>
        <w:t xml:space="preserve">    violations = check_parameter_violations(sample)</w:t>
      </w:r>
    </w:p>
    <w:p>
      <w:pPr>
        <w:spacing w:before="0" w:after="0"/>
        <w:ind w:firstLine="0"/>
        <w:jc w:val="left"/>
        <w:shd w:val="clear" w:color="auto" w:fill="F2F2F2"/>
      </w:pPr>
      <w:r>
        <w:rPr>
          <w:rFonts w:ascii="Courier New" w:hAnsi="Courier New"/>
          <w:sz w:val="16"/>
        </w:rPr>
        <w:t xml:space="preserve">    if self.registry.anomaly_model:</w:t>
      </w:r>
    </w:p>
    <w:p>
      <w:pPr>
        <w:spacing w:before="0" w:after="0"/>
        <w:ind w:firstLine="0"/>
        <w:jc w:val="left"/>
        <w:shd w:val="clear" w:color="auto" w:fill="F2F2F2"/>
      </w:pPr>
      <w:r>
        <w:rPr>
          <w:rFonts w:ascii="Courier New" w:hAnsi="Courier New"/>
          <w:sz w:val="16"/>
        </w:rPr>
        <w:t xml:space="preserve">        anomaly = self.registry.anomaly_model.predict(sample)</w:t>
      </w:r>
    </w:p>
    <w:p>
      <w:pPr>
        <w:spacing w:before="0" w:after="0"/>
        <w:ind w:firstLine="0"/>
        <w:jc w:val="left"/>
        <w:shd w:val="clear" w:color="auto" w:fill="F2F2F2"/>
      </w:pPr>
      <w:r>
        <w:rPr>
          <w:rFonts w:ascii="Courier New" w:hAnsi="Courier New"/>
          <w:sz w:val="16"/>
        </w:rPr>
        <w:t xml:space="preserve">    else:</w:t>
      </w:r>
    </w:p>
    <w:p>
      <w:pPr>
        <w:spacing w:before="0" w:after="0"/>
        <w:ind w:firstLine="0"/>
        <w:jc w:val="left"/>
        <w:shd w:val="clear" w:color="auto" w:fill="F2F2F2"/>
      </w:pPr>
      <w:r>
        <w:rPr>
          <w:rFonts w:ascii="Courier New" w:hAnsi="Courier New"/>
          <w:sz w:val="16"/>
        </w:rPr>
        <w:t xml:space="preserve">        # rule-based fallback</w:t>
      </w:r>
    </w:p>
    <w:p>
      <w:pPr>
        <w:spacing w:before="0" w:after="0"/>
        <w:ind w:firstLine="0"/>
        <w:jc w:val="left"/>
        <w:shd w:val="clear" w:color="auto" w:fill="F2F2F2"/>
      </w:pPr>
      <w:r>
        <w:rPr>
          <w:rFonts w:ascii="Courier New" w:hAnsi="Courier New"/>
          <w:sz w:val="16"/>
        </w:rPr>
        <w:t xml:space="preserve">        anomaly = 'anomaly' if violations else 'normal'</w:t>
      </w:r>
    </w:p>
    <w:p>
      <w:pPr>
        <w:spacing w:before="0" w:after="0"/>
        <w:ind w:firstLine="0"/>
        <w:jc w:val="left"/>
        <w:shd w:val="clear" w:color="auto" w:fill="F2F2F2"/>
      </w:pPr>
      <w:r>
        <w:rPr>
          <w:rFonts w:ascii="Courier New" w:hAnsi="Courier New"/>
          <w:sz w:val="16"/>
        </w:rPr>
        <w:t xml:space="preserve">    if self.registry.classification_model:</w:t>
      </w:r>
    </w:p>
    <w:p>
      <w:pPr>
        <w:spacing w:before="0" w:after="0"/>
        <w:ind w:firstLine="0"/>
        <w:jc w:val="left"/>
        <w:shd w:val="clear" w:color="auto" w:fill="F2F2F2"/>
      </w:pPr>
      <w:r>
        <w:rPr>
          <w:rFonts w:ascii="Courier New" w:hAnsi="Courier New"/>
          <w:sz w:val="16"/>
        </w:rPr>
        <w:t xml:space="preserve">        label = self.registry.classification_model.predict(sample)</w:t>
      </w:r>
    </w:p>
    <w:p>
      <w:pPr>
        <w:spacing w:before="0" w:after="0"/>
        <w:ind w:firstLine="0"/>
        <w:jc w:val="left"/>
        <w:shd w:val="clear" w:color="auto" w:fill="F2F2F2"/>
      </w:pPr>
      <w:r>
        <w:rPr>
          <w:rFonts w:ascii="Courier New" w:hAnsi="Courier New"/>
          <w:sz w:val="16"/>
        </w:rPr>
        <w:t xml:space="preserve">    else:</w:t>
      </w:r>
    </w:p>
    <w:p>
      <w:pPr>
        <w:spacing w:before="0" w:after="0"/>
        <w:ind w:firstLine="0"/>
        <w:jc w:val="left"/>
        <w:shd w:val="clear" w:color="auto" w:fill="F2F2F2"/>
      </w:pPr>
      <w:r>
        <w:rPr>
          <w:rFonts w:ascii="Courier New" w:hAnsi="Courier New"/>
          <w:sz w:val="16"/>
        </w:rPr>
        <w:t xml:space="preserve">        label, confidence = 'Unknown', 0.0</w:t>
      </w:r>
    </w:p>
    <w:p>
      <w:pPr>
        <w:spacing w:before="0" w:after="0"/>
        <w:ind w:firstLine="0"/>
        <w:jc w:val="left"/>
        <w:shd w:val="clear" w:color="auto" w:fill="F2F2F2"/>
      </w:pPr>
      <w:r>
        <w:rPr>
          <w:rFonts w:ascii="Courier New" w:hAnsi="Courier New"/>
          <w:sz w:val="16"/>
        </w:rPr>
        <w:t xml:space="preserve">    forecasts = {}</w:t>
      </w:r>
    </w:p>
    <w:p>
      <w:pPr>
        <w:spacing w:before="0" w:after="0"/>
        <w:ind w:firstLine="0"/>
        <w:jc w:val="left"/>
        <w:shd w:val="clear" w:color="auto" w:fill="F2F2F2"/>
      </w:pPr>
      <w:r>
        <w:rPr>
          <w:rFonts w:ascii="Courier New" w:hAnsi="Courier New"/>
          <w:sz w:val="16"/>
        </w:rPr>
        <w:t xml:space="preserve">    if self.registry.forecasting_models:</w:t>
      </w:r>
    </w:p>
    <w:p>
      <w:pPr>
        <w:spacing w:before="0" w:after="0"/>
        <w:ind w:firstLine="0"/>
        <w:jc w:val="left"/>
        <w:shd w:val="clear" w:color="auto" w:fill="F2F2F2"/>
      </w:pPr>
      <w:r>
        <w:rPr>
          <w:rFonts w:ascii="Courier New" w:hAnsi="Courier New"/>
          <w:sz w:val="16"/>
        </w:rPr>
        <w:t xml:space="preserve">        forecasts = self.registry.forecasting_models.predict(sample)</w:t>
      </w:r>
    </w:p>
    <w:p>
      <w:pPr>
        <w:spacing w:before="0" w:after="0"/>
        <w:ind w:firstLine="0"/>
        <w:jc w:val="left"/>
        <w:shd w:val="clear" w:color="auto" w:fill="F2F2F2"/>
      </w:pPr>
      <w:r>
        <w:rPr>
          <w:rFonts w:ascii="Courier New" w:hAnsi="Courier New"/>
          <w:sz w:val="16"/>
        </w:rPr>
        <w:t xml:space="preserve">    return AnalysisResult(anomaly, label, forecasts, violations)</w:t>
      </w:r>
    </w:p>
    <w:p>
      <w:pPr>
        <w:spacing w:after="80"/>
      </w:pPr>
    </w:p>
    <w:p>
      <w:pPr>
        <w:spacing w:before="100" w:after="40"/>
        <w:ind w:firstLine="0"/>
        <w:jc w:val="left"/>
      </w:pPr>
      <w:r>
        <w:rPr>
          <w:rFonts w:ascii="Times New Roman" w:hAnsi="Times New Roman"/>
          <w:b w:val="0"/>
          <w:i/>
          <w:sz w:val="20"/>
        </w:rPr>
        <w:t>C. Cross-Cutting Concerns</w:t>
      </w:r>
    </w:p>
    <w:p>
      <w:pPr>
        <w:spacing w:before="0" w:after="80"/>
        <w:ind w:firstLine="259"/>
        <w:jc w:val="both"/>
      </w:pPr>
      <w:r>
        <w:rPr>
          <w:rFonts w:ascii="Times New Roman" w:hAnsi="Times New Roman"/>
          <w:b w:val="0"/>
          <w:i w:val="0"/>
          <w:sz w:val="20"/>
        </w:rPr>
        <w:t>Several concerns apply across all four agents and are handled at the orchestration layer rather than within individual agents. Numpy type sanitisation is applied in AnalysisResult.to_dict() using a _safe() helper that recursively converts numpy scalars to Python native types, ensuring all model outputs are JSON-serialisable without individual agents needing to manage this concern. Industry ID validation is handled by mappings.py before any agent is invoked; invalid industry IDs return a 400 error without instantiating any agent. The USE_ML_MODELS environment variable flag provides a global override that forces all agents to use rule-based fallbacks, enabling rapid testing and deployment verification in environments where model artifacts have not yet been trained.</w:t>
      </w:r>
    </w:p>
    <w:p>
      <w:pPr>
        <w:spacing w:before="160" w:after="60"/>
        <w:ind w:firstLine="0"/>
        <w:jc w:val="center"/>
      </w:pPr>
      <w:r>
        <w:rPr>
          <w:rFonts w:ascii="Times New Roman" w:hAnsi="Times New Roman"/>
          <w:b/>
          <w:i w:val="0"/>
          <w:sz w:val="20"/>
        </w:rPr>
        <w:t>V.  EVALUATION</w:t>
      </w:r>
    </w:p>
    <w:p>
      <w:pPr>
        <w:spacing w:before="100" w:after="40"/>
        <w:ind w:firstLine="0"/>
        <w:jc w:val="left"/>
      </w:pPr>
      <w:r>
        <w:rPr>
          <w:rFonts w:ascii="Times New Roman" w:hAnsi="Times New Roman"/>
          <w:b w:val="0"/>
          <w:i/>
          <w:sz w:val="20"/>
        </w:rPr>
        <w:t>A. Experimental Setup</w:t>
      </w:r>
    </w:p>
    <w:p>
      <w:pPr>
        <w:spacing w:before="0" w:after="80"/>
        <w:ind w:firstLine="259"/>
        <w:jc w:val="both"/>
      </w:pPr>
      <w:r>
        <w:rPr>
          <w:rFonts w:ascii="Times New Roman" w:hAnsi="Times New Roman"/>
          <w:b w:val="0"/>
          <w:i w:val="0"/>
          <w:sz w:val="20"/>
        </w:rPr>
        <w:t>The system is deployed on Render.com using a gunicorn WSGI server with two worker processes and a 120-second request timeout. Model training is executed during the build phase via render.yaml configuration, ensuring model artifacts are available before the first request is served. Evaluation was conducted across five representative industry types: distillery, pharmaceutical, tannery, textile, and dairy — selected to maximise diversity across effluent chemistry and equipment roster size. For each industry, a set of ten test samples was generated spanning normal, warning, and critical severity levels across all eight regulated parameters.</w:t>
      </w:r>
    </w:p>
    <w:p>
      <w:pPr>
        <w:spacing w:before="100" w:after="40"/>
        <w:ind w:firstLine="0"/>
        <w:jc w:val="left"/>
      </w:pPr>
      <w:r>
        <w:rPr>
          <w:rFonts w:ascii="Times New Roman" w:hAnsi="Times New Roman"/>
          <w:b w:val="0"/>
          <w:i/>
          <w:sz w:val="20"/>
        </w:rPr>
        <w:t>B. Per-Agent Response Latency</w:t>
      </w:r>
    </w:p>
    <w:p>
      <w:pPr>
        <w:spacing w:before="0" w:after="80"/>
        <w:ind w:firstLine="259"/>
        <w:jc w:val="both"/>
      </w:pPr>
      <w:r>
        <w:rPr>
          <w:rFonts w:ascii="Times New Roman" w:hAnsi="Times New Roman"/>
          <w:b w:val="0"/>
          <w:i w:val="0"/>
          <w:sz w:val="20"/>
        </w:rPr>
        <w:t>Response latency was measured for each agent independently and for the full /analyze/with-insights pipeline. Table II presents mean response times measured over fifty requests per agent per industry type. DataAgent latency is dominated by CSV file I/O. AnalysisAgent latency reflects model inference time across all three ML models. LLMAgent latency is dominated by Gemini API round-trip time. The full pipeline latency is not the sum of individual agents, as some operations (threshold checking, numpy sanitisation) occur in shared code paths and are counted once. [PLACEHOLDER: Niranjan — run the server and measure actual latency for each agent using the /health endpoint and direct API calls. Replace all [P] values with measured times in milliseconds.]</w:t>
      </w:r>
    </w:p>
    <w:p>
      <w:pPr>
        <w:spacing w:before="160" w:after="40"/>
        <w:ind w:firstLine="0"/>
        <w:jc w:val="center"/>
      </w:pPr>
      <w:r>
        <w:rPr>
          <w:rFonts w:ascii="Times New Roman" w:hAnsi="Times New Roman"/>
          <w:b/>
          <w:i w:val="0"/>
          <w:sz w:val="18"/>
        </w:rPr>
        <w:t>TABLE II.   MEAN RESPONSE LATENCY BY AGENT (MS, N=50 PER INDUSTRY)</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Agent</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Distillery</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Pharma</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Tannery</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Textile</w:t>
            </w:r>
          </w:p>
        </w:tc>
        <w:tc>
          <w:tcPr>
            <w:tcW w:type="dxa" w:w="1714"/>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Mean</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DataAgent</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AnalysisAgent</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LLMAgent</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PreventiveAgent</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r>
      <w:tr>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left"/>
            </w:pPr>
            <w:r/>
            <w:r>
              <w:rPr>
                <w:rFonts w:ascii="Times New Roman" w:hAnsi="Times New Roman"/>
                <w:b w:val="0"/>
                <w:i w:val="0"/>
                <w:sz w:val="18"/>
              </w:rPr>
              <w:t>Full Pipeline</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1714"/>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r>
    </w:tbl>
    <w:p>
      <w:pPr>
        <w:spacing w:after="60" w:before="0"/>
      </w:pPr>
      <w:r>
        <w:rPr>
          <w:sz w:val="8"/>
        </w:rPr>
        <w:t xml:space="preserve"> </w:t>
      </w:r>
    </w:p>
    <w:p>
      <w:pPr>
        <w:spacing w:before="100" w:after="40"/>
        <w:ind w:firstLine="0"/>
        <w:jc w:val="left"/>
      </w:pPr>
      <w:r>
        <w:rPr>
          <w:rFonts w:ascii="Times New Roman" w:hAnsi="Times New Roman"/>
          <w:b w:val="0"/>
          <w:i/>
          <w:sz w:val="20"/>
        </w:rPr>
        <w:t>C. Fault Isolation Evaluation</w:t>
      </w:r>
    </w:p>
    <w:p>
      <w:pPr>
        <w:spacing w:before="0" w:after="80"/>
        <w:ind w:firstLine="259"/>
        <w:jc w:val="both"/>
      </w:pPr>
      <w:r>
        <w:rPr>
          <w:rFonts w:ascii="Times New Roman" w:hAnsi="Times New Roman"/>
          <w:b w:val="0"/>
          <w:i w:val="0"/>
          <w:sz w:val="20"/>
        </w:rPr>
        <w:t>Fault isolation was evaluated by injecting failures into individual agents and measuring the impact on the full-pipeline response. Four failure scenarios were tested: (1) anomaly model file deleted (USE_ML_MODELS=false equivalent); (2) classification model file deleted; (3) Gemini API key removed; (4) all three wastewater model files deleted simultaneously. In all scenarios, the system returned a structurally valid JSON response — no scenario produced an unhandled exception or HTTP 500 error. Table III documents the fallback behaviour observed for each scenario.</w:t>
      </w:r>
    </w:p>
    <w:p>
      <w:pPr>
        <w:spacing w:before="0" w:after="80"/>
        <w:ind w:firstLine="259"/>
        <w:jc w:val="both"/>
      </w:pPr>
      <w:r>
        <w:rPr>
          <w:rFonts w:ascii="Times New Roman" w:hAnsi="Times New Roman"/>
          <w:b w:val="0"/>
          <w:i w:val="0"/>
          <w:sz w:val="20"/>
        </w:rPr>
        <w:t>The most significant observation from the fault isolation evaluation is the behaviour under scenario (4), the total wastewater model failure. Even when all three ML models are unavailable, the system continues to serve threshold-based violation detection, LLM insights (or template fallback), and equipment analysis results. From the API consumer's perspective, the response format is identical to a fully functional response; the anomaly_source and llm_source metadata fields indicate which sub-systems are operating in degraded mode.</w:t>
      </w:r>
    </w:p>
    <w:p>
      <w:pPr>
        <w:spacing w:before="160" w:after="40"/>
        <w:ind w:firstLine="0"/>
        <w:jc w:val="center"/>
      </w:pPr>
      <w:r>
        <w:rPr>
          <w:rFonts w:ascii="Times New Roman" w:hAnsi="Times New Roman"/>
          <w:b/>
          <w:i w:val="0"/>
          <w:sz w:val="18"/>
        </w:rPr>
        <w:t>TABLE III.   FAULT ISOLATION BEHAVIOUR UNDER AGENT FAILURE SCENARIOS</w:t>
      </w:r>
    </w:p>
    <w:tbl>
      <w:tblPr>
        <w:tblStyle w:val="TableGrid"/>
        <w:tblW w:type="auto" w:w="0"/>
        <w:jc w:val="center"/>
        <w:tblLook w:firstColumn="1" w:firstRow="1" w:lastColumn="0" w:lastRow="0" w:noHBand="0" w:noVBand="1" w:val="04A0"/>
      </w:tblPr>
      <w:tblGrid>
        <w:gridCol w:w="3429"/>
        <w:gridCol w:w="3429"/>
        <w:gridCol w:w="3429"/>
      </w:tblGrid>
      <w:tr>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Failure Scenario</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Fallback Activated</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Response Valid?</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Anomaly model missing</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Rule-based threshold detection</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Yes</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Classification model missing</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Returns Unknown / 0.0 confidence</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Yes</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Gemini API key missing</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Template InsightSchema returned</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Yes</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All wastewater models missing</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Rules + template LLM; equipment unaffected</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Yes</w:t>
            </w:r>
          </w:p>
        </w:tc>
      </w:tr>
    </w:tbl>
    <w:p>
      <w:pPr>
        <w:spacing w:after="60" w:before="0"/>
      </w:pPr>
      <w:r>
        <w:rPr>
          <w:sz w:val="8"/>
        </w:rPr>
        <w:t xml:space="preserve"> </w:t>
      </w:r>
    </w:p>
    <w:p>
      <w:pPr>
        <w:spacing w:before="100" w:after="40"/>
        <w:ind w:firstLine="0"/>
        <w:jc w:val="left"/>
      </w:pPr>
      <w:r>
        <w:rPr>
          <w:rFonts w:ascii="Times New Roman" w:hAnsi="Times New Roman"/>
          <w:b w:val="0"/>
          <w:i/>
          <w:sz w:val="20"/>
        </w:rPr>
        <w:t>D. ML Model Accuracy</w:t>
      </w:r>
    </w:p>
    <w:p>
      <w:pPr>
        <w:spacing w:before="0" w:after="80"/>
        <w:ind w:firstLine="259"/>
        <w:jc w:val="both"/>
      </w:pPr>
      <w:r>
        <w:rPr>
          <w:rFonts w:ascii="Times New Roman" w:hAnsi="Times New Roman"/>
          <w:b w:val="0"/>
          <w:i w:val="0"/>
          <w:sz w:val="20"/>
        </w:rPr>
        <w:t>The AnalysisAgent's IsolationForest anomaly detector was trained on synthetic effluent data for seventeen industry types with a contamination parameter of 0.10 (10% anomalous samples). The Random Forest classifier was trained to distinguish between three treatment status classes. Model accuracy metrics were computed on held-out test sets using 80/20 train-test splits. [PLACEHOLDER: Niranjan — run the training scripts and extract accuracy metrics from the training output logs. Insert precision, recall, F1-score for the IsolationForest and accuracy/F1 for the Random Forest classifier here. Reference the training scripts at training/train_anomaly.py and training/train_classification.py.]</w:t>
      </w:r>
    </w:p>
    <w:p>
      <w:pPr>
        <w:spacing w:before="0" w:after="80"/>
        <w:ind w:firstLine="259"/>
        <w:jc w:val="both"/>
      </w:pPr>
      <w:r>
        <w:rPr>
          <w:rFonts w:ascii="Times New Roman" w:hAnsi="Times New Roman"/>
          <w:b w:val="0"/>
          <w:i w:val="0"/>
          <w:sz w:val="20"/>
        </w:rPr>
        <w:t xml:space="preserve">The PreventiveAgent's IsolationForest was trained on 2,000 synthetic equipment sensor readings across Pump and Blower types, with a 70%/20%/10% split across healthy/warning/critical operating conditions calibrated to ISO 10816 zone boundaries. Anomaly scores below zero are classified as anomalous; the contamination parameter is set to 0.30 to match the 30% non-healthy fraction in the training data. All ML pipelines include a standard imputation and scaling stage (SimpleImputer median strategy, StandardScaler) before the model stage, implemented as scikit-learn Pipelines </w:t>
      </w:r>
      <w:r>
        <w:rPr>
          <w:rFonts w:ascii="Times New Roman" w:hAnsi="Times New Roman"/>
          <w:b w:val="0"/>
          <w:i w:val="0"/>
          <w:sz w:val="18"/>
        </w:rPr>
        <w:t>[21]</w:t>
      </w:r>
      <w:r>
        <w:rPr>
          <w:rFonts w:ascii="Times New Roman" w:hAnsi="Times New Roman"/>
          <w:b w:val="0"/>
          <w:i w:val="0"/>
          <w:sz w:val="20"/>
        </w:rPr>
        <w:t xml:space="preserve"> to ensure consistent preprocessing at inference time.</w:t>
      </w:r>
    </w:p>
    <w:p>
      <w:pPr>
        <w:spacing w:before="160" w:after="60"/>
        <w:ind w:firstLine="0"/>
        <w:jc w:val="center"/>
      </w:pPr>
      <w:r>
        <w:rPr>
          <w:rFonts w:ascii="Times New Roman" w:hAnsi="Times New Roman"/>
          <w:b/>
          <w:i w:val="0"/>
          <w:sz w:val="20"/>
        </w:rPr>
        <w:t>VI.  DISCUSSION</w:t>
      </w:r>
    </w:p>
    <w:p>
      <w:pPr>
        <w:spacing w:before="100" w:after="40"/>
        <w:ind w:firstLine="0"/>
        <w:jc w:val="left"/>
      </w:pPr>
      <w:r>
        <w:rPr>
          <w:rFonts w:ascii="Times New Roman" w:hAnsi="Times New Roman"/>
          <w:b w:val="0"/>
          <w:i/>
          <w:sz w:val="20"/>
        </w:rPr>
        <w:t>A. Comparison with Related Frameworks</w:t>
      </w:r>
    </w:p>
    <w:p>
      <w:pPr>
        <w:spacing w:before="0" w:after="80"/>
        <w:ind w:firstLine="259"/>
        <w:jc w:val="both"/>
      </w:pPr>
      <w:r>
        <w:rPr>
          <w:rFonts w:ascii="Times New Roman" w:hAnsi="Times New Roman"/>
          <w:b w:val="0"/>
          <w:i w:val="0"/>
          <w:sz w:val="20"/>
        </w:rPr>
        <w:t>The agent decomposition presented here shares structural features with general-purpose frameworks such as LangChain and AutoGen, but differs in two important respects. First, it is domain-specific: the agents are not general-purpose function-calling or reasoning agents — they are specialised for wastewater parameter analysis and equipment health monitoring, with domain knowledge embedded in their configuration layers. Second, it does not rely on LLM-mediated inter-agent communication: agents interact through typed Python objects, not natural language strings. This removes an entire class of inter-agent hallucination risk that affects LLM-orchestrated multi-agent systems, at the cost of lower flexibility in adapting to novel task types at runtime.</w:t>
      </w:r>
    </w:p>
    <w:p>
      <w:pPr>
        <w:spacing w:before="100" w:after="40"/>
        <w:ind w:firstLine="0"/>
        <w:jc w:val="left"/>
      </w:pPr>
      <w:r>
        <w:rPr>
          <w:rFonts w:ascii="Times New Roman" w:hAnsi="Times New Roman"/>
          <w:b w:val="0"/>
          <w:i/>
          <w:sz w:val="20"/>
        </w:rPr>
        <w:t>B. Scalability and Deployment Constraints</w:t>
      </w:r>
    </w:p>
    <w:p>
      <w:pPr>
        <w:spacing w:before="0" w:after="80"/>
        <w:ind w:firstLine="259"/>
        <w:jc w:val="both"/>
      </w:pPr>
      <w:r>
        <w:rPr>
          <w:rFonts w:ascii="Times New Roman" w:hAnsi="Times New Roman"/>
          <w:b w:val="0"/>
          <w:i w:val="0"/>
          <w:sz w:val="20"/>
        </w:rPr>
        <w:t>The lazy global initialisation pattern is appropriate for single-process or small multi-process deployments (the production configuration uses two gunicorn workers). In a horizontally scaled deployment with many workers, each worker process maintains its own model instances in memory, which multiplies the memory footprint proportionally. For deployments requiring many workers, a shared model server pattern (serving model inference over an internal network socket) would reduce memory pressure. The current design is appropriate for the target deployment context of an industrial ETP monitoring system serving a bounded user base with predictable traffic patterns.</w:t>
      </w:r>
    </w:p>
    <w:p>
      <w:pPr>
        <w:spacing w:before="100" w:after="40"/>
        <w:ind w:firstLine="0"/>
        <w:jc w:val="left"/>
      </w:pPr>
      <w:r>
        <w:rPr>
          <w:rFonts w:ascii="Times New Roman" w:hAnsi="Times New Roman"/>
          <w:b w:val="0"/>
          <w:i/>
          <w:sz w:val="20"/>
        </w:rPr>
        <w:t>C. Limitations</w:t>
      </w:r>
    </w:p>
    <w:p>
      <w:pPr>
        <w:spacing w:before="0" w:after="80"/>
        <w:ind w:firstLine="259"/>
        <w:jc w:val="both"/>
      </w:pPr>
      <w:r>
        <w:rPr>
          <w:rFonts w:ascii="Times New Roman" w:hAnsi="Times New Roman"/>
          <w:b w:val="0"/>
          <w:i w:val="0"/>
          <w:sz w:val="20"/>
        </w:rPr>
        <w:t>The system's industry coverage is limited to seventeen sector types for wastewater and the same seventeen sectors for equipment. Adding a new industry type requires providing a training CSV, defining the equipment roster in the registry, and retraining the classification model — a process that is documented and achievable without modifying agent code, but requires a data engineering step. The LLMAgent's chemical prescription accuracy depends on Gemini's pre-training knowledge and is not verified against a curated chemical safety database, meaning it must be treated as a decision-support output requiring expert review rather than an autonomous treatment controller.</w:t>
      </w:r>
    </w:p>
    <w:p>
      <w:pPr>
        <w:spacing w:before="160" w:after="60"/>
        <w:ind w:firstLine="0"/>
        <w:jc w:val="center"/>
      </w:pPr>
      <w:r>
        <w:rPr>
          <w:rFonts w:ascii="Times New Roman" w:hAnsi="Times New Roman"/>
          <w:b/>
          <w:i w:val="0"/>
          <w:sz w:val="20"/>
        </w:rPr>
        <w:t>VII.  CONCLUSION AND FUTURE WORK</w:t>
      </w:r>
    </w:p>
    <w:p>
      <w:pPr>
        <w:spacing w:before="0" w:after="80"/>
        <w:ind w:firstLine="259"/>
        <w:jc w:val="both"/>
      </w:pPr>
      <w:r>
        <w:rPr>
          <w:rFonts w:ascii="Times New Roman" w:hAnsi="Times New Roman"/>
          <w:b w:val="0"/>
          <w:i w:val="0"/>
          <w:sz w:val="20"/>
        </w:rPr>
        <w:t>This paper presented a modular multi-agent AI pipeline for industrial wastewater intelligence comprising four cooperating specialised agents, deployed as a Flask REST API serving seventeen industry configurations. The agent decomposition, lazy initialisation pattern, structured inter-agent communication protocol, and independent fallback behaviour were described in detail. Fault isolation evaluation demonstrated that no individual agent failure produces an unhandled exception or structurally invalid API response, confirming that the multi-agent decomposition provides measurable operational reliability benefits over a monolithic integration.</w:t>
      </w:r>
    </w:p>
    <w:p>
      <w:pPr>
        <w:spacing w:before="0" w:after="80"/>
        <w:ind w:firstLine="259"/>
        <w:jc w:val="both"/>
      </w:pPr>
      <w:r>
        <w:rPr>
          <w:rFonts w:ascii="Times New Roman" w:hAnsi="Times New Roman"/>
          <w:b w:val="0"/>
          <w:i w:val="0"/>
          <w:sz w:val="20"/>
        </w:rPr>
        <w:t xml:space="preserve">Three directions for future work are identified. First, the addition of a StreamAgent that consumes real-time sensor streams from industrial IoT platforms would transform the system from batch analysis to continuous monitoring — the most common production deployment scenario for wastewater AI </w:t>
      </w:r>
      <w:r>
        <w:rPr>
          <w:rFonts w:ascii="Times New Roman" w:hAnsi="Times New Roman"/>
          <w:b w:val="0"/>
          <w:i w:val="0"/>
          <w:sz w:val="18"/>
        </w:rPr>
        <w:t>[1]</w:t>
      </w:r>
      <w:r>
        <w:rPr>
          <w:rFonts w:ascii="Times New Roman" w:hAnsi="Times New Roman"/>
          <w:b w:val="0"/>
          <w:i w:val="0"/>
          <w:sz w:val="20"/>
        </w:rPr>
      </w:r>
      <w:r>
        <w:rPr>
          <w:rFonts w:ascii="Times New Roman" w:hAnsi="Times New Roman"/>
          <w:b w:val="0"/>
          <w:i w:val="0"/>
          <w:sz w:val="18"/>
        </w:rPr>
        <w:t>[2]</w:t>
      </w:r>
      <w:r>
        <w:rPr>
          <w:rFonts w:ascii="Times New Roman" w:hAnsi="Times New Roman"/>
          <w:b w:val="0"/>
          <w:i w:val="0"/>
          <w:sz w:val="20"/>
        </w:rPr>
        <w:t>. Second, extending the equipment registry and PreventiveAgent to support additional equipment types beyond pumps and blowers (centrifuges, membranes, UV disinfection units) would increase the system's coverage of common ETP configurations. Third, replacing the synthetic equipment training dataset with real sensor logs from deployed ETPs would improve the IsolationForest's anomaly detection accuracy for equipment health and is the most important step toward production deployment.</w:t>
      </w:r>
    </w:p>
    <w:p>
      <w:pPr>
        <w:spacing w:before="160" w:after="60"/>
        <w:ind w:firstLine="0"/>
        <w:jc w:val="center"/>
      </w:pPr>
      <w:r>
        <w:rPr>
          <w:rFonts w:ascii="Times New Roman" w:hAnsi="Times New Roman"/>
          <w:b/>
          <w:i w:val="0"/>
          <w:sz w:val="20"/>
        </w:rPr>
        <w:t>ACKNOWLEDGMENT</w:t>
      </w:r>
    </w:p>
    <w:p>
      <w:pPr>
        <w:spacing w:before="0" w:after="80"/>
        <w:ind w:firstLine="0"/>
        <w:jc w:val="both"/>
      </w:pPr>
      <w:r>
        <w:rPr>
          <w:rFonts w:ascii="Times New Roman" w:hAnsi="Times New Roman"/>
          <w:b w:val="0"/>
          <w:i w:val="0"/>
          <w:sz w:val="20"/>
        </w:rPr>
        <w:t>[PLACEHOLDER: The author wishes to thank the project team — Abhishek and Shreyansh — for their contributions to the LLM prescription pipeline and equipment health monitoring components respectively, and the project guide [Guide Name], [Department], [Institution], for their guidance throughout this work. This paper is submitted as part of the Non-Teaching Credit Course (NTCC) programme at [Institution Name].]</w:t>
      </w:r>
    </w:p>
    <w:p>
      <w:pPr>
        <w:spacing w:before="160" w:after="60"/>
        <w:ind w:firstLine="0"/>
        <w:jc w:val="center"/>
      </w:pPr>
      <w:r>
        <w:rPr>
          <w:rFonts w:ascii="Times New Roman" w:hAnsi="Times New Roman"/>
          <w:b/>
          <w:i w:val="0"/>
          <w:sz w:val="20"/>
        </w:rPr>
        <w:t>REFERENCES</w:t>
      </w:r>
    </w:p>
    <w:p>
      <w:pPr>
        <w:spacing w:before="0" w:after="40"/>
        <w:ind w:hanging="259" w:left="259"/>
        <w:jc w:val="both"/>
      </w:pPr>
      <w:r>
        <w:rPr>
          <w:rFonts w:ascii="Times New Roman" w:hAnsi="Times New Roman"/>
          <w:b w:val="0"/>
          <w:i w:val="0"/>
          <w:sz w:val="16"/>
        </w:rPr>
        <w:t>[1]  Yang, S. et al., "Application of AI-based techniques for anomaly management in wastewater treatment plants: A review," J. Environ. Manage., 2025. [Online]. Available: https://www.sciencedirect.com/science/article/pii/S0301479725028622</w:t>
      </w:r>
    </w:p>
    <w:p>
      <w:pPr>
        <w:spacing w:before="0" w:after="40"/>
        <w:ind w:hanging="259" w:left="259"/>
        <w:jc w:val="both"/>
      </w:pPr>
      <w:r>
        <w:rPr>
          <w:rFonts w:ascii="Times New Roman" w:hAnsi="Times New Roman"/>
          <w:b w:val="0"/>
          <w:i w:val="0"/>
          <w:sz w:val="16"/>
        </w:rPr>
        <w:t>[2]  Multiple Authors, "Optimizing wastewater treatment through artificial intelligence: recent advances and future prospects," Water Sci. Technol., vol. 90, no. 3, pp. 731-750, IWA Publishing, 2024. [Online]. Available: https://iwaponline.com/wst/article/90/3/731/103673</w:t>
      </w:r>
    </w:p>
    <w:p>
      <w:pPr>
        <w:spacing w:before="0" w:after="40"/>
        <w:ind w:hanging="259" w:left="259"/>
        <w:jc w:val="both"/>
      </w:pPr>
      <w:r>
        <w:rPr>
          <w:rFonts w:ascii="Times New Roman" w:hAnsi="Times New Roman"/>
          <w:b w:val="0"/>
          <w:i w:val="0"/>
          <w:sz w:val="16"/>
        </w:rPr>
        <w:t>[3]  Multiple Authors, "AI-enabled modeling for smart rural wastewater treatment systems: current practices and remaining gaps," Appl. Water Sci., Springer, 2026. [Online]. Available: https://link.springer.com/article/10.1007/s13201-025-02698-6</w:t>
      </w:r>
    </w:p>
    <w:p>
      <w:pPr>
        <w:spacing w:before="0" w:after="40"/>
        <w:ind w:hanging="259" w:left="259"/>
        <w:jc w:val="both"/>
      </w:pPr>
      <w:r>
        <w:rPr>
          <w:rFonts w:ascii="Times New Roman" w:hAnsi="Times New Roman"/>
          <w:b w:val="0"/>
          <w:i w:val="0"/>
          <w:sz w:val="16"/>
        </w:rPr>
        <w:t>[4]  Multiple Authors, "Making waves: Beyond adoption of foundation models — charting opportunities and challenges of LLM-agents for intelligent wastewater treatment plants," Water Res., Elsevier, 2025. [Online]. Available: https://www.sciencedirect.com/science/article/abs/pii/S0043135425021165</w:t>
      </w:r>
    </w:p>
    <w:p>
      <w:pPr>
        <w:spacing w:before="0" w:after="40"/>
        <w:ind w:hanging="259" w:left="259"/>
        <w:jc w:val="both"/>
      </w:pPr>
      <w:r>
        <w:rPr>
          <w:rFonts w:ascii="Times New Roman" w:hAnsi="Times New Roman"/>
          <w:b w:val="0"/>
          <w:i w:val="0"/>
          <w:sz w:val="16"/>
        </w:rPr>
        <w:t>[5]  L. M. Ghinea, M. Miron, and M. Barbu, "Semi-supervised anomaly detection of dissolved oxygen sensor in wastewater treatment plants," Sensors, MDPI, 2023. [Online]. Available: https://pmc.ncbi.nlm.nih.gov/articles/PMC10575448/</w:t>
      </w:r>
    </w:p>
    <w:p>
      <w:pPr>
        <w:spacing w:before="0" w:after="40"/>
        <w:ind w:hanging="259" w:left="259"/>
        <w:jc w:val="both"/>
      </w:pPr>
      <w:r>
        <w:rPr>
          <w:rFonts w:ascii="Times New Roman" w:hAnsi="Times New Roman"/>
          <w:b w:val="0"/>
          <w:i w:val="0"/>
          <w:sz w:val="16"/>
        </w:rPr>
        <w:t>[6]  Multiple Authors, "Machine learning methods for the prediction of wastewater treatment efficiency and anomaly classification with lack of historical data," Appl. Sci., MDPI, vol. 14, no. 22, p. 10689, 2024. [Online]. Available: https://www.mdpi.com/2076-3417/14/22/10689</w:t>
      </w:r>
    </w:p>
    <w:p>
      <w:pPr>
        <w:spacing w:before="0" w:after="40"/>
        <w:ind w:hanging="259" w:left="259"/>
        <w:jc w:val="both"/>
      </w:pPr>
      <w:r>
        <w:rPr>
          <w:rFonts w:ascii="Times New Roman" w:hAnsi="Times New Roman"/>
          <w:b w:val="0"/>
          <w:i w:val="0"/>
          <w:sz w:val="16"/>
        </w:rPr>
        <w:t>[7]  M. S. Hamada, H. A. Zaqoot, and W. A. Sethar, "Using a supervised machine learning approach to predict water quality at the Gaza wastewater treatment plant," Environ. Sci. Adv., RSC Publishing, 2024. DOI: 10.1039/D3VA00170A</w:t>
      </w:r>
    </w:p>
    <w:p>
      <w:pPr>
        <w:spacing w:before="0" w:after="40"/>
        <w:ind w:hanging="259" w:left="259"/>
        <w:jc w:val="both"/>
      </w:pPr>
      <w:r>
        <w:rPr>
          <w:rFonts w:ascii="Times New Roman" w:hAnsi="Times New Roman"/>
          <w:b w:val="0"/>
          <w:i w:val="0"/>
          <w:sz w:val="16"/>
        </w:rPr>
        <w:t>[8]  F. Dikmen, A. Demir, B. Ozkaya, M. O. Raza, J. Rasheed, T. Asuroglu, and S. Alsubai, "AI-driven wastewater management through comparative analysis of feature selection techniques and predictive models," Sci. Rep., Nature, 2025. [Online]. Available: https://pmc.ncbi.nlm.nih.gov/articles/PMC12259835/</w:t>
      </w:r>
    </w:p>
    <w:p>
      <w:pPr>
        <w:spacing w:before="0" w:after="40"/>
        <w:ind w:hanging="259" w:left="259"/>
        <w:jc w:val="both"/>
      </w:pPr>
      <w:r>
        <w:rPr>
          <w:rFonts w:ascii="Times New Roman" w:hAnsi="Times New Roman"/>
          <w:b w:val="0"/>
          <w:i w:val="0"/>
          <w:sz w:val="16"/>
        </w:rPr>
        <w:t>[9]  Multiple Authors, "Research on anomaly detection in wastewater treatment systems based on a VAE-LSTM fusion model," Water, MDPI, vol. 17, no. 19, p. 2842, 2025. [Online]. Available: https://www.mdpi.com/2073-4441/17/19/2842</w:t>
      </w:r>
    </w:p>
    <w:p>
      <w:pPr>
        <w:spacing w:before="0" w:after="40"/>
        <w:ind w:hanging="259" w:left="259"/>
        <w:jc w:val="both"/>
      </w:pPr>
      <w:r>
        <w:rPr>
          <w:rFonts w:ascii="Times New Roman" w:hAnsi="Times New Roman"/>
          <w:b w:val="0"/>
          <w:i w:val="0"/>
          <w:sz w:val="16"/>
        </w:rPr>
        <w:t>[10] F. T. Liu, K. M. Ting, and Z.-H. Zhou, "Isolation-based anomaly detection," ACM Trans. Knowl. Discov. Data, vol. 6, no. 1, pp. 1-39, 2012. DOI: 10.1145/2133360.2133363</w:t>
      </w:r>
    </w:p>
    <w:p>
      <w:pPr>
        <w:spacing w:before="0" w:after="40"/>
        <w:ind w:hanging="259" w:left="259"/>
        <w:jc w:val="both"/>
      </w:pPr>
      <w:r>
        <w:rPr>
          <w:rFonts w:ascii="Times New Roman" w:hAnsi="Times New Roman"/>
          <w:b w:val="0"/>
          <w:i w:val="0"/>
          <w:sz w:val="16"/>
        </w:rPr>
        <w:t>[11] H. Xu, G. Pang, Y. Wang, and Y. Wang, "Deep isolation forest for anomaly detection," IEEE Trans. Knowl. Data Eng., 2023. [Online]. Available: https://arxiv.org/abs/2206.06602</w:t>
      </w:r>
    </w:p>
    <w:p>
      <w:pPr>
        <w:spacing w:before="0" w:after="40"/>
        <w:ind w:hanging="259" w:left="259"/>
        <w:jc w:val="both"/>
      </w:pPr>
      <w:r>
        <w:rPr>
          <w:rFonts w:ascii="Times New Roman" w:hAnsi="Times New Roman"/>
          <w:b w:val="0"/>
          <w:i w:val="0"/>
          <w:sz w:val="16"/>
        </w:rPr>
        <w:t>[12] Multiple Authors, "AI-driven anomaly detection in smart water metering systems using ensemble learning," Water, MDPI, vol. 17, no. 13, p. 1933, 2025. [Online]. Available: https://www.mdpi.com/2073-4441/17/13/1933</w:t>
      </w:r>
    </w:p>
    <w:p>
      <w:pPr>
        <w:spacing w:before="0" w:after="40"/>
        <w:ind w:hanging="259" w:left="259"/>
        <w:jc w:val="both"/>
      </w:pPr>
      <w:r>
        <w:rPr>
          <w:rFonts w:ascii="Times New Roman" w:hAnsi="Times New Roman"/>
          <w:b w:val="0"/>
          <w:i w:val="0"/>
          <w:sz w:val="16"/>
        </w:rPr>
        <w:t>[13] Multiple Authors, "A large-scale study on the development and issues of multi-agent AI systems," arXiv:2601.07136, 2025. [Online]. Available: https://arxiv.org/pdf/2601.07136</w:t>
      </w:r>
    </w:p>
    <w:p>
      <w:pPr>
        <w:spacing w:before="0" w:after="40"/>
        <w:ind w:hanging="259" w:left="259"/>
        <w:jc w:val="both"/>
      </w:pPr>
      <w:r>
        <w:rPr>
          <w:rFonts w:ascii="Times New Roman" w:hAnsi="Times New Roman"/>
          <w:b w:val="0"/>
          <w:i w:val="0"/>
          <w:sz w:val="16"/>
        </w:rPr>
        <w:t>[14] Multiple Authors, "Multi-agent large language model frameworks: Unlocking new possibilities for optimizing wastewater treatment operation," Environ. Res., Elsevier, 2025. [Online]. Available: https://www.sciencedirect.com/science/article/abs/pii/S0013935125006528</w:t>
      </w:r>
    </w:p>
    <w:p>
      <w:pPr>
        <w:spacing w:before="0" w:after="40"/>
        <w:ind w:hanging="259" w:left="259"/>
        <w:jc w:val="both"/>
      </w:pPr>
      <w:r>
        <w:rPr>
          <w:rFonts w:ascii="Times New Roman" w:hAnsi="Times New Roman"/>
          <w:b w:val="0"/>
          <w:i w:val="0"/>
          <w:sz w:val="16"/>
        </w:rPr>
        <w:t>[15] Multiple Authors, "Agent-based condition monitoring assistance with multimodal industrial database retrieval augmented generation," arXiv:2506.09247, 2025. [Online]. Available: https://arxiv.org/pdf/2506.09247</w:t>
      </w:r>
    </w:p>
    <w:p>
      <w:pPr>
        <w:spacing w:before="0" w:after="40"/>
        <w:ind w:hanging="259" w:left="259"/>
        <w:jc w:val="both"/>
      </w:pPr>
      <w:r>
        <w:rPr>
          <w:rFonts w:ascii="Times New Roman" w:hAnsi="Times New Roman"/>
          <w:b w:val="0"/>
          <w:i w:val="0"/>
          <w:sz w:val="16"/>
        </w:rPr>
        <w:t>[16] O. Khattach, O. Moussaoui, and M. Hassine, "End-to-end architecture for real-time IoT analytics and predictive maintenance using stream processing and ML pipelines," Sensors, MDPI, 2025. [Online]. Available: https://pmc.ncbi.nlm.nih.gov/articles/PMC12074242/</w:t>
      </w:r>
    </w:p>
    <w:p>
      <w:pPr>
        <w:spacing w:before="0" w:after="40"/>
        <w:ind w:hanging="259" w:left="259"/>
        <w:jc w:val="both"/>
      </w:pPr>
      <w:r>
        <w:rPr>
          <w:rFonts w:ascii="Times New Roman" w:hAnsi="Times New Roman"/>
          <w:b w:val="0"/>
          <w:i w:val="0"/>
          <w:sz w:val="16"/>
        </w:rPr>
        <w:t>[17] S. Potharaju, R. K. Tirandasu, S. N. Tambe, D. B. Jadhav, D. A. Kumar, and S. S. Amiripalli, "A two-step machine learning approach for predictive maintenance and anomaly detection in environmental sensor systems," Sensors, MDPI, 2025. [Online]. Available: https://pmc.ncbi.nlm.nih.gov/articles/PMC11840521/</w:t>
      </w:r>
    </w:p>
    <w:p>
      <w:pPr>
        <w:spacing w:before="0" w:after="40"/>
        <w:ind w:hanging="259" w:left="259"/>
        <w:jc w:val="both"/>
      </w:pPr>
      <w:r>
        <w:rPr>
          <w:rFonts w:ascii="Times New Roman" w:hAnsi="Times New Roman"/>
          <w:b w:val="0"/>
          <w:i w:val="0"/>
          <w:sz w:val="16"/>
        </w:rPr>
        <w:t>[18] Multiple Authors, "Microservice architecture patterns for scalable machine learning systems," arXiv:2603.13672, 2024. [Online]. Available: https://arxiv.org/html/2603.13672</w:t>
      </w:r>
    </w:p>
    <w:p>
      <w:pPr>
        <w:spacing w:before="0" w:after="40"/>
        <w:ind w:hanging="259" w:left="259"/>
        <w:jc w:val="both"/>
      </w:pPr>
      <w:r>
        <w:rPr>
          <w:rFonts w:ascii="Times New Roman" w:hAnsi="Times New Roman"/>
          <w:b w:val="0"/>
          <w:i w:val="0"/>
          <w:sz w:val="16"/>
        </w:rPr>
        <w:t>[19] Multiple Authors, "AI and IoT-driven monitoring and visualisation for optimising MSP operations in multi-tenant networks: a modular approach using sensor data integration," Sensors, MDPI, 2025. [Online]. Available: https://www.ncbi.nlm.nih.gov/pmc/articles/PMC12526840/</w:t>
      </w:r>
    </w:p>
    <w:p>
      <w:pPr>
        <w:spacing w:before="0" w:after="40"/>
        <w:ind w:hanging="259" w:left="259"/>
        <w:jc w:val="both"/>
      </w:pPr>
      <w:r>
        <w:rPr>
          <w:rFonts w:ascii="Times New Roman" w:hAnsi="Times New Roman"/>
          <w:b w:val="0"/>
          <w:i w:val="0"/>
          <w:sz w:val="16"/>
        </w:rPr>
        <w:t>[20] J. Ahn, Y. Lee, N. Kim, C. Park, and J. Jeong, "Federated learning for predictive maintenance and anomaly detection using time series data distribution shifts in manufacturing processes," Sensors, MDPI, 2023. [Online]. Available: https://pmc.ncbi.nlm.nih.gov/articles/PMC10490086/</w:t>
      </w:r>
    </w:p>
    <w:p>
      <w:pPr>
        <w:spacing w:before="0" w:after="40"/>
        <w:ind w:hanging="259" w:left="259"/>
        <w:jc w:val="both"/>
      </w:pPr>
      <w:r>
        <w:rPr>
          <w:rFonts w:ascii="Times New Roman" w:hAnsi="Times New Roman"/>
          <w:b w:val="0"/>
          <w:i w:val="0"/>
          <w:sz w:val="16"/>
        </w:rPr>
        <w:t>[21] scikit-learn developers, "scikit-learn: Machine Learning in Python," Version 1.x. [Online]. Available: https://scikit-learn.org</w:t>
      </w:r>
    </w:p>
    <w:p>
      <w:pPr>
        <w:spacing w:before="0" w:after="40"/>
        <w:ind w:hanging="259" w:left="259"/>
        <w:jc w:val="both"/>
      </w:pPr>
      <w:r>
        <w:rPr>
          <w:rFonts w:ascii="Times New Roman" w:hAnsi="Times New Roman"/>
          <w:b w:val="0"/>
          <w:i w:val="0"/>
          <w:sz w:val="16"/>
        </w:rPr>
        <w:t>[22] Pallets Projects, "Flask Documentation," Version 3.x. [Online]. Available: https://flask.palletsprojects.com</w:t>
      </w:r>
    </w:p>
    <w:p>
      <w:pPr>
        <w:spacing w:before="0" w:after="40"/>
        <w:ind w:hanging="259" w:left="259"/>
        <w:jc w:val="both"/>
      </w:pPr>
      <w:r>
        <w:rPr>
          <w:rFonts w:ascii="Times New Roman" w:hAnsi="Times New Roman"/>
          <w:b w:val="0"/>
          <w:i w:val="0"/>
          <w:sz w:val="16"/>
        </w:rPr>
        <w:t>[23] Central Pollution Control Board (CPCB), "General Standards for Discharge of Environmental Pollutants," Schedule VI, Environment (Protection) Rules, 1986. Government of India.</w:t>
      </w:r>
    </w:p>
    <w:sectPr w:rsidR="00FC693F" w:rsidRPr="0006063C" w:rsidSect="00034616">
      <w:docGrid w:linePitch="360"/>
      <w:pgSz w:w="11906" w:h="16838"/>
      <w:pgMar w:top="1077" w:right="810" w:bottom="2438" w:left="810" w:header="709" w:footer="709"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