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firstLine="0"/>
        <w:jc w:val="center"/>
      </w:pPr>
      <w:r>
        <w:rPr>
          <w:rFonts w:ascii="Times New Roman" w:hAnsi="Times New Roman"/>
          <w:b w:val="0"/>
          <w:i w:val="0"/>
          <w:sz w:val="36"/>
        </w:rPr>
        <w:t>ISO 10816-Calibrated Isolation Forest for Predictive Maintenance of ETP Equipment: Real-Time Health Classification of Industrial Pumps and Blowers</w:t>
      </w:r>
    </w:p>
    <w:p>
      <w:pPr>
        <w:spacing w:before="0" w:after="40"/>
        <w:ind w:firstLine="0"/>
        <w:jc w:val="center"/>
      </w:pPr>
      <w:r>
        <w:rPr>
          <w:rFonts w:ascii="Times New Roman" w:hAnsi="Times New Roman"/>
          <w:b w:val="0"/>
          <w:i w:val="0"/>
          <w:sz w:val="22"/>
        </w:rPr>
        <w:t>[PLACEHOLDER: Shreyansh — Full Name]</w:t>
      </w:r>
    </w:p>
    <w:p>
      <w:pPr>
        <w:spacing w:before="0" w:after="40"/>
        <w:ind w:firstLine="0"/>
        <w:jc w:val="center"/>
      </w:pPr>
      <w:r>
        <w:rPr>
          <w:rFonts w:ascii="Times New Roman" w:hAnsi="Times New Roman"/>
          <w:b w:val="0"/>
          <w:i/>
          <w:sz w:val="20"/>
        </w:rPr>
        <w:t>[PLACEHOLDER: Department Name]</w:t>
        <w:br/>
        <w:t>[PLACEHOLDER: Institution Name, City, Country]</w:t>
        <w:br/>
        <w:t>[PLACEHOLDER: email@institution.edu]</w:t>
      </w:r>
    </w:p>
    <w:p>
      <w:pPr>
        <w:spacing w:after="120" w:before="0"/>
      </w:pPr>
      <w:r>
        <w:rPr>
          <w:sz w:val="8"/>
        </w:rPr>
        <w:t xml:space="preserve"> </w:t>
      </w:r>
    </w:p>
    <w:p>
      <w:pPr>
        <w:spacing w:before="0" w:after="40"/>
        <w:ind w:firstLine="0"/>
        <w:jc w:val="left"/>
      </w:pPr>
      <w:r>
        <w:rPr>
          <w:rFonts w:ascii="Times New Roman" w:hAnsi="Times New Roman"/>
          <w:b/>
          <w:i/>
          <w:sz w:val="18"/>
        </w:rPr>
        <w:t>Abstract</w:t>
      </w:r>
      <w:r>
        <w:rPr>
          <w:rFonts w:ascii="Times New Roman" w:hAnsi="Times New Roman"/>
          <w:b w:val="0"/>
          <w:i/>
          <w:sz w:val="18"/>
        </w:rPr>
        <w:t xml:space="preserve"> — Effluent treatment plants (ETPs) depend critically on rotating electromechanical equipment — centrifugal pumps and blowers — whose unplanned failure disrupts treatment continuity and risks regulatory non-compliance. Predictive maintenance systems for this class of equipment must distinguish healthy, warning, and critical operating states from acoustic, vibration, and temperature sensor data, often without access to historical fault records. This paper presents an IsolationForest-based equipment health classification system calibrated to ISO 10816 vibration severity zone boundaries. A synthetic training dataset of 2,000 sensor readings is constructed by sampling within the ISO zone boundary ranges — Zone A/B as healthy, Zone C as warning, Zone D as critical — with a 70/20/10 class distribution matching the expected operational prevalence of each health state in a production ETP. An IsolationForest with contamination=0.30 is trained on this dataset within a scikit-learn imputer-scaler pipeline, then deployed as the PreventiveAgent in a Flask REST API serving seventeen industrial sector configurations, each with an industry-specific equipment roster of pumps and blowers. Fleet-level health aggregation, per-unit threshold checking, and Gemini-powered maintenance prescription generation are also described.</w:t>
      </w:r>
    </w:p>
    <w:p>
      <w:pPr>
        <w:spacing w:before="80" w:after="120"/>
        <w:ind w:firstLine="0"/>
        <w:jc w:val="left"/>
      </w:pPr>
      <w:r>
        <w:rPr>
          <w:rFonts w:ascii="Times New Roman" w:hAnsi="Times New Roman"/>
          <w:b/>
          <w:i/>
          <w:sz w:val="18"/>
        </w:rPr>
        <w:t xml:space="preserve">Keywords: </w:t>
      </w:r>
      <w:r>
        <w:rPr>
          <w:rFonts w:ascii="Times New Roman" w:hAnsi="Times New Roman"/>
          <w:b w:val="0"/>
          <w:i/>
          <w:sz w:val="18"/>
        </w:rPr>
        <w:t>predictive maintenance, IsolationForest, ISO 10816, anomaly detection, equipment health monitoring, synthetic dataset, ETP pumps, vibration analysis</w:t>
      </w:r>
    </w:p>
    <w:p>
      <w:pPr>
        <w:spacing w:before="0" w:after="0"/>
        <w:sectPr>
          <w:type w:val="continuous"/>
          <w:pgSz w:w="11906" w:h="16838"/>
          <w:pgMar w:top="1077" w:right="810" w:bottom="2438" w:left="810" w:header="709" w:footer="709" w:gutter="0"/>
          <w:cols w:num="1"/>
        </w:sectPr>
      </w:pPr>
    </w:p>
    <w:p>
      <w:pPr>
        <w:spacing w:before="160" w:after="60"/>
        <w:ind w:firstLine="0"/>
        <w:jc w:val="center"/>
      </w:pPr>
      <w:r>
        <w:rPr>
          <w:rFonts w:ascii="Times New Roman" w:hAnsi="Times New Roman"/>
          <w:b/>
          <w:i w:val="0"/>
          <w:sz w:val="20"/>
        </w:rPr>
        <w:t>I.  INTRODUCTION</w:t>
      </w:r>
    </w:p>
    <w:p>
      <w:pPr>
        <w:spacing w:before="0" w:after="80"/>
        <w:ind w:firstLine="259"/>
        <w:jc w:val="both"/>
      </w:pPr>
      <w:r>
        <w:rPr>
          <w:rFonts w:ascii="Times New Roman" w:hAnsi="Times New Roman"/>
          <w:b w:val="0"/>
          <w:i w:val="0"/>
          <w:sz w:val="20"/>
        </w:rPr>
        <w:t xml:space="preserve">Effluent treatment plants (ETPs) in industrial facilities perform continuous physicochemical and biological treatment of process wastewater before discharge. The mechanical equipment that drives these processes — centrifugal pumps that move effluent between treatment stages, and blowers that aerate biological reactors — operates under corrosive, variable-load conditions that accelerate mechanical wear. Failure of a critical pump or blower can halt an entire treatment train, causing untreated effluent to accumulate and threatening regulatory compliance with CPCB discharge standards. Equipment-related downtime in industrial ETPs is estimated to account for the majority of treatment plant availability losses in process industries </w:t>
      </w:r>
      <w:r>
        <w:rPr>
          <w:rFonts w:ascii="Times New Roman" w:hAnsi="Times New Roman"/>
          <w:b w:val="0"/>
          <w:i w:val="0"/>
          <w:sz w:val="18"/>
        </w:rPr>
        <w:t>[1]</w:t>
      </w:r>
      <w:r>
        <w:rPr>
          <w:rFonts w:ascii="Times New Roman" w:hAnsi="Times New Roman"/>
          <w:b w:val="0"/>
          <w:i w:val="0"/>
          <w:sz w:val="20"/>
        </w:rPr>
      </w:r>
      <w:r>
        <w:rPr>
          <w:rFonts w:ascii="Times New Roman" w:hAnsi="Times New Roman"/>
          <w:b w:val="0"/>
          <w:i w:val="0"/>
          <w:sz w:val="18"/>
        </w:rPr>
        <w:t>[2]</w:t>
      </w:r>
      <w:r>
        <w:rPr>
          <w:rFonts w:ascii="Times New Roman" w:hAnsi="Times New Roman"/>
          <w:b w:val="0"/>
          <w:i w:val="0"/>
          <w:sz w:val="20"/>
        </w:rPr>
        <w:t>.</w:t>
      </w:r>
    </w:p>
    <w:p>
      <w:pPr>
        <w:spacing w:before="0" w:after="80"/>
        <w:ind w:firstLine="259"/>
        <w:jc w:val="both"/>
      </w:pPr>
      <w:r>
        <w:rPr>
          <w:rFonts w:ascii="Times New Roman" w:hAnsi="Times New Roman"/>
          <w:b w:val="0"/>
          <w:i w:val="0"/>
          <w:sz w:val="20"/>
        </w:rPr>
        <w:t xml:space="preserve">Predictive maintenance (PdM) is the practice of monitoring equipment condition signals — typically vibration, acoustic emission, and temperature — in real time and predicting impending faults before they cause failure. The rationale is economic: planned corrective maintenance triggered by a PdM alert is substantially less costly than emergency repair following unplanned breakdown, which incurs both repair costs and production or compliance loss. PdM for rotating machinery has an extensive research history centred on vibration analysis, since mechanical faults in pumps and blowers produce characteristic vibration frequency signatures that evolve predictably as fault severity increases </w:t>
      </w:r>
      <w:r>
        <w:rPr>
          <w:rFonts w:ascii="Times New Roman" w:hAnsi="Times New Roman"/>
          <w:b w:val="0"/>
          <w:i w:val="0"/>
          <w:sz w:val="18"/>
        </w:rPr>
        <w:t>[3]</w:t>
      </w:r>
      <w:r>
        <w:rPr>
          <w:rFonts w:ascii="Times New Roman" w:hAnsi="Times New Roman"/>
          <w:b w:val="0"/>
          <w:i w:val="0"/>
          <w:sz w:val="20"/>
        </w:rPr>
        <w:t>.</w:t>
      </w:r>
    </w:p>
    <w:p>
      <w:pPr>
        <w:spacing w:before="0" w:after="80"/>
        <w:ind w:firstLine="259"/>
        <w:jc w:val="both"/>
      </w:pPr>
      <w:r>
        <w:rPr>
          <w:rFonts w:ascii="Times New Roman" w:hAnsi="Times New Roman"/>
          <w:b w:val="0"/>
          <w:i w:val="0"/>
          <w:sz w:val="20"/>
        </w:rPr>
        <w:t xml:space="preserve">A persistent challenge in deploying PdM systems for industrial ETPs is the absence of historical fault data. Unlike automotive or aerospace applications where large labelled fault datasets exist, industrial ETP operators rarely maintain structured records of equipment fault events at the granularity required for supervised training. This makes supervised classification impractical for most ETP deployments and motivates unsupervised or semi-supervised anomaly detection approaches. IsolationForest </w:t>
      </w:r>
      <w:r>
        <w:rPr>
          <w:rFonts w:ascii="Times New Roman" w:hAnsi="Times New Roman"/>
          <w:b w:val="0"/>
          <w:i w:val="0"/>
          <w:sz w:val="18"/>
        </w:rPr>
        <w:t>[4]</w:t>
      </w:r>
      <w:r>
        <w:rPr>
          <w:rFonts w:ascii="Times New Roman" w:hAnsi="Times New Roman"/>
          <w:b w:val="0"/>
          <w:i w:val="0"/>
          <w:sz w:val="20"/>
        </w:rPr>
        <w:t xml:space="preserve"> is particularly well-suited to this setting: it requires no class labels, makes no distributional assumptions, and operates efficiently on low-dimensional sensor feature vectors.</w:t>
      </w:r>
    </w:p>
    <w:p>
      <w:pPr>
        <w:spacing w:before="0" w:after="80"/>
        <w:ind w:firstLine="259"/>
        <w:jc w:val="both"/>
      </w:pPr>
      <w:r>
        <w:rPr>
          <w:rFonts w:ascii="Times New Roman" w:hAnsi="Times New Roman"/>
          <w:b w:val="0"/>
          <w:i w:val="0"/>
          <w:sz w:val="20"/>
        </w:rPr>
        <w:t>A second challenge is the definition of what constitutes anomalous versus healthy operation. Without labelled fault data, the decision boundary must be grounded in an external engineering standard rather than learned from data alone. ISO 10816 provides internationally recognised vibration severity zone boundaries for rotating machinery: Zone A (new machinery), Zone B (acceptable long-term operation), Zone C (tolerable short-term), and Zone D (fault condition requiring immediate action). These zones are expressed in terms of vibration velocity in mm/s RMS and provide a principled basis for constructing a synthetic training dataset with known, engineering-validated class boundaries.</w:t>
      </w:r>
    </w:p>
    <w:p>
      <w:pPr>
        <w:spacing w:before="0" w:after="80"/>
        <w:ind w:firstLine="259"/>
        <w:jc w:val="both"/>
      </w:pPr>
      <w:r>
        <w:rPr>
          <w:rFonts w:ascii="Times New Roman" w:hAnsi="Times New Roman"/>
          <w:b w:val="0"/>
          <w:i w:val="0"/>
          <w:sz w:val="20"/>
        </w:rPr>
        <w:t>This paper presents an ISO 10816-calibrated IsolationForest system for real-time health classification of ETP pumps and blowers. The primary contributions are: (1) a synthetic dataset generation methodology that anchors training data distributions to ISO 10816 zone boundaries; (2) an IsolationForest deployment within a scikit-learn Pipeline with appropriate contamination parameter selection; (3) a fleet-level health aggregation system that consolidates per-unit scores into a FleetAnalysisResult for seventeen industrial sectors; and (4) an evaluation of health classification accuracy against a held-out ISO-calibrated test set.</w:t>
      </w:r>
    </w:p>
    <w:p>
      <w:pPr>
        <w:spacing w:before="0" w:after="80"/>
        <w:ind w:firstLine="259"/>
        <w:jc w:val="both"/>
      </w:pPr>
      <w:r>
        <w:rPr>
          <w:rFonts w:ascii="Times New Roman" w:hAnsi="Times New Roman"/>
          <w:b w:val="0"/>
          <w:i w:val="0"/>
          <w:sz w:val="20"/>
        </w:rPr>
        <w:t>The paper is organised as follows. Section II reviews related work on predictive maintenance, vibration-based fault detection, and anomaly detection algorithms. Section III describes the ISO 10816 calibration methodology and synthetic dataset design. Section IV presents the IsolationForest model architecture and training procedure. Section V describes the PreventiveAgent integration and fleet analysis system. Section VI presents the evaluation results. Section VII discusses limitations and future work. Section VIII concludes.</w:t>
      </w:r>
    </w:p>
    <w:p>
      <w:pPr>
        <w:spacing w:before="160" w:after="60"/>
        <w:ind w:firstLine="0"/>
        <w:jc w:val="center"/>
      </w:pPr>
      <w:r>
        <w:rPr>
          <w:rFonts w:ascii="Times New Roman" w:hAnsi="Times New Roman"/>
          <w:b/>
          <w:i w:val="0"/>
          <w:sz w:val="20"/>
        </w:rPr>
        <w:t>II.  RELATED WORK</w:t>
      </w:r>
    </w:p>
    <w:p>
      <w:pPr>
        <w:spacing w:before="100" w:after="40"/>
        <w:ind w:firstLine="0"/>
        <w:jc w:val="left"/>
      </w:pPr>
      <w:r>
        <w:rPr>
          <w:rFonts w:ascii="Times New Roman" w:hAnsi="Times New Roman"/>
          <w:b w:val="0"/>
          <w:i/>
          <w:sz w:val="20"/>
        </w:rPr>
        <w:t>A. Predictive Maintenance for Industrial Machinery</w:t>
      </w:r>
    </w:p>
    <w:p>
      <w:pPr>
        <w:spacing w:before="0" w:after="80"/>
        <w:ind w:firstLine="259"/>
        <w:jc w:val="both"/>
      </w:pPr>
      <w:r>
        <w:rPr>
          <w:rFonts w:ascii="Times New Roman" w:hAnsi="Times New Roman"/>
          <w:b w:val="0"/>
          <w:i w:val="0"/>
          <w:sz w:val="20"/>
        </w:rPr>
        <w:t xml:space="preserve">Machine learning for predictive maintenance using IoT sensor data has been extensively studied since the mid-2010s. Kanawaday and Sane </w:t>
      </w:r>
      <w:r>
        <w:rPr>
          <w:rFonts w:ascii="Times New Roman" w:hAnsi="Times New Roman"/>
          <w:b w:val="0"/>
          <w:i w:val="0"/>
          <w:sz w:val="18"/>
        </w:rPr>
        <w:t>[4]</w:t>
      </w:r>
      <w:r>
        <w:rPr>
          <w:rFonts w:ascii="Times New Roman" w:hAnsi="Times New Roman"/>
          <w:b w:val="0"/>
          <w:i w:val="0"/>
          <w:sz w:val="20"/>
        </w:rPr>
        <w:t xml:space="preserve"> provided one of the earliest demonstrations that real-time sensor data (temperature, pressure, vibration) collected from industrial machines can be used to train ML models for failure prediction, establishing the IoT-to-ML PdM pipeline that subsequent work has built upon. AI and IoT integration for predictive maintenance in Industry 4.0 manufacturing environments demonstrates that a combination of real-time sensor streaming, edge processing, and cloud ML inference achieves maintenance alert accuracy above 90% for common rotating equipment classes </w:t>
      </w:r>
      <w:r>
        <w:rPr>
          <w:rFonts w:ascii="Times New Roman" w:hAnsi="Times New Roman"/>
          <w:b w:val="0"/>
          <w:i w:val="0"/>
          <w:sz w:val="18"/>
        </w:rPr>
        <w:t>[5]</w:t>
      </w:r>
      <w:r>
        <w:rPr>
          <w:rFonts w:ascii="Times New Roman" w:hAnsi="Times New Roman"/>
          <w:b w:val="0"/>
          <w:i w:val="0"/>
          <w:sz w:val="20"/>
        </w:rPr>
        <w:t xml:space="preserve">. PdM applied to smart port logistics equipment using sensor data shows that IsolationForest and Random Forest classifiers achieve comparable performance on multi-class health state detection when feature engineering targets known fault frequency bands </w:t>
      </w:r>
      <w:r>
        <w:rPr>
          <w:rFonts w:ascii="Times New Roman" w:hAnsi="Times New Roman"/>
          <w:b w:val="0"/>
          <w:i w:val="0"/>
          <w:sz w:val="18"/>
        </w:rPr>
        <w:t>[6]</w:t>
      </w:r>
      <w:r>
        <w:rPr>
          <w:rFonts w:ascii="Times New Roman" w:hAnsi="Times New Roman"/>
          <w:b w:val="0"/>
          <w:i w:val="0"/>
          <w:sz w:val="20"/>
        </w:rPr>
        <w:t>.</w:t>
      </w:r>
    </w:p>
    <w:p>
      <w:pPr>
        <w:spacing w:before="0" w:after="80"/>
        <w:ind w:firstLine="259"/>
        <w:jc w:val="both"/>
      </w:pPr>
      <w:r>
        <w:rPr>
          <w:rFonts w:ascii="Times New Roman" w:hAnsi="Times New Roman"/>
          <w:b w:val="0"/>
          <w:i w:val="0"/>
          <w:sz w:val="20"/>
        </w:rPr>
        <w:t xml:space="preserve">Vibration analysis for predictive maintenance of rotating machinery is a classical discipline with well-established signal processing foundations. Time-domain vibration RMS, frequency-domain spectral envelope analysis, and cepstrum analysis are standard features used to detect bearing wear, shaft imbalance, and misalignment — the three most common fault types in centrifugal pumps and blowers used in water treatment applications </w:t>
      </w:r>
      <w:r>
        <w:rPr>
          <w:rFonts w:ascii="Times New Roman" w:hAnsi="Times New Roman"/>
          <w:b w:val="0"/>
          <w:i w:val="0"/>
          <w:sz w:val="18"/>
        </w:rPr>
        <w:t>[7]</w:t>
      </w:r>
      <w:r>
        <w:rPr>
          <w:rFonts w:ascii="Times New Roman" w:hAnsi="Times New Roman"/>
          <w:b w:val="0"/>
          <w:i w:val="0"/>
          <w:sz w:val="20"/>
        </w:rPr>
        <w:t>. The ISO 10816 standard formalises the relationship between overall vibration velocity and machine health, providing zone boundaries that aggregate the full frequency content into a single severity indicator applicable across machine classes.</w:t>
      </w:r>
    </w:p>
    <w:p>
      <w:pPr>
        <w:spacing w:before="100" w:after="40"/>
        <w:ind w:firstLine="0"/>
        <w:jc w:val="left"/>
      </w:pPr>
      <w:r>
        <w:rPr>
          <w:rFonts w:ascii="Times New Roman" w:hAnsi="Times New Roman"/>
          <w:b w:val="0"/>
          <w:i/>
          <w:sz w:val="20"/>
        </w:rPr>
        <w:t>B. Fault Detection in Pumps and Blowers</w:t>
      </w:r>
    </w:p>
    <w:p>
      <w:pPr>
        <w:spacing w:before="0" w:after="80"/>
        <w:ind w:firstLine="259"/>
        <w:jc w:val="both"/>
      </w:pPr>
      <w:r>
        <w:rPr>
          <w:rFonts w:ascii="Times New Roman" w:hAnsi="Times New Roman"/>
          <w:b w:val="0"/>
          <w:i w:val="0"/>
          <w:sz w:val="20"/>
        </w:rPr>
        <w:t xml:space="preserve">Centrifugal pump fault diagnosis is one of the most studied problems in industrial predictive maintenance. Ullah et al. </w:t>
      </w:r>
      <w:r>
        <w:rPr>
          <w:rFonts w:ascii="Times New Roman" w:hAnsi="Times New Roman"/>
          <w:b w:val="0"/>
          <w:i w:val="0"/>
          <w:sz w:val="18"/>
        </w:rPr>
        <w:t>[8]</w:t>
      </w:r>
      <w:r>
        <w:rPr>
          <w:rFonts w:ascii="Times New Roman" w:hAnsi="Times New Roman"/>
          <w:b w:val="0"/>
          <w:i w:val="0"/>
          <w:sz w:val="20"/>
        </w:rPr>
        <w:t xml:space="preserve"> demonstrated that combining wavelet coherence analysis for feature extraction with deep learning classification achieves 99.68% accuracy for multi-class pump fault diagnosis, substantially outperforming frequency-domain feature baselines. While this accuracy is impressive, the method requires extensive labelled fault data across all fault classes — a requirement that is not satisfied in most ETP deployment contexts. CNN-based transfer learning applied to centrifugal pump fault detection using real acoustic and vibration data demonstrates that models pre-trained on one machine class can be fine-tuned for a new machine with limited labelled samples </w:t>
      </w:r>
      <w:r>
        <w:rPr>
          <w:rFonts w:ascii="Times New Roman" w:hAnsi="Times New Roman"/>
          <w:b w:val="0"/>
          <w:i w:val="0"/>
          <w:sz w:val="18"/>
        </w:rPr>
        <w:t>[9]</w:t>
      </w:r>
      <w:r>
        <w:rPr>
          <w:rFonts w:ascii="Times New Roman" w:hAnsi="Times New Roman"/>
          <w:b w:val="0"/>
          <w:i w:val="0"/>
          <w:sz w:val="20"/>
        </w:rPr>
        <w:t>, but still requires at least some labelled examples of each fault class.</w:t>
      </w:r>
    </w:p>
    <w:p>
      <w:pPr>
        <w:spacing w:before="0" w:after="80"/>
        <w:ind w:firstLine="259"/>
        <w:jc w:val="both"/>
      </w:pPr>
      <w:r>
        <w:rPr>
          <w:rFonts w:ascii="Times New Roman" w:hAnsi="Times New Roman"/>
          <w:b w:val="0"/>
          <w:i w:val="0"/>
          <w:sz w:val="20"/>
        </w:rPr>
        <w:t xml:space="preserve">Hybrid deep learning approaches for bearing fault diagnosis — combining continuous wavelet transform with attention-enhanced spatiotemporal feature extraction — have demonstrated high accuracy on multi-class bearing fault datasets </w:t>
      </w:r>
      <w:r>
        <w:rPr>
          <w:rFonts w:ascii="Times New Roman" w:hAnsi="Times New Roman"/>
          <w:b w:val="0"/>
          <w:i w:val="0"/>
          <w:sz w:val="18"/>
        </w:rPr>
        <w:t>[10]</w:t>
      </w:r>
      <w:r>
        <w:rPr>
          <w:rFonts w:ascii="Times New Roman" w:hAnsi="Times New Roman"/>
          <w:b w:val="0"/>
          <w:i w:val="0"/>
          <w:sz w:val="20"/>
        </w:rPr>
        <w:t>. However, the computational requirements of these approaches (large CNN architectures, GPU inference) make them unsuitable for low-resource ETP deployments where inference must run on modest cloud compute. The IsolationForest approach presented in this paper trades peak accuracy for practical deployability: it runs efficiently on CPU, requires no fault labels, and trains in seconds rather than hours.</w:t>
      </w:r>
    </w:p>
    <w:p>
      <w:pPr>
        <w:spacing w:before="100" w:after="40"/>
        <w:ind w:firstLine="0"/>
        <w:jc w:val="left"/>
      </w:pPr>
      <w:r>
        <w:rPr>
          <w:rFonts w:ascii="Times New Roman" w:hAnsi="Times New Roman"/>
          <w:b w:val="0"/>
          <w:i/>
          <w:sz w:val="20"/>
        </w:rPr>
        <w:t>C. Anomaly Detection Algorithms</w:t>
      </w:r>
    </w:p>
    <w:p>
      <w:pPr>
        <w:spacing w:before="0" w:after="80"/>
        <w:ind w:firstLine="259"/>
        <w:jc w:val="both"/>
      </w:pPr>
      <w:r>
        <w:rPr>
          <w:rFonts w:ascii="Times New Roman" w:hAnsi="Times New Roman"/>
          <w:b w:val="0"/>
          <w:i w:val="0"/>
          <w:sz w:val="20"/>
        </w:rPr>
        <w:t xml:space="preserve">IsolationForest </w:t>
      </w:r>
      <w:r>
        <w:rPr>
          <w:rFonts w:ascii="Times New Roman" w:hAnsi="Times New Roman"/>
          <w:b w:val="0"/>
          <w:i w:val="0"/>
          <w:sz w:val="18"/>
        </w:rPr>
        <w:t>[11]</w:t>
      </w:r>
      <w:r>
        <w:rPr>
          <w:rFonts w:ascii="Times New Roman" w:hAnsi="Times New Roman"/>
          <w:b w:val="0"/>
          <w:i w:val="0"/>
          <w:sz w:val="20"/>
        </w:rPr>
        <w:t xml:space="preserve"> isolates anomalies by recursively partitioning the feature space using random splits and measuring path length: anomalous observations have shorter average path lengths because they lie in sparse regions of the feature space. The contamination hyperparameter specifies the expected proportion of anomalies in the training data and determines the decision threshold. In the absence of labelled data, contamination is typically set based on domain knowledge about the expected anomaly rate. Deep Isolation Forest </w:t>
      </w:r>
      <w:r>
        <w:rPr>
          <w:rFonts w:ascii="Times New Roman" w:hAnsi="Times New Roman"/>
          <w:b w:val="0"/>
          <w:i w:val="0"/>
          <w:sz w:val="18"/>
        </w:rPr>
        <w:t>[12]</w:t>
      </w:r>
      <w:r>
        <w:rPr>
          <w:rFonts w:ascii="Times New Roman" w:hAnsi="Times New Roman"/>
          <w:b w:val="0"/>
          <w:i w:val="0"/>
          <w:sz w:val="20"/>
        </w:rPr>
        <w:t xml:space="preserve"> extends the algorithm to learned feature representations, achieving improved detection of complex, non-linear anomaly patterns. Rotated Isolation Forest </w:t>
      </w:r>
      <w:r>
        <w:rPr>
          <w:rFonts w:ascii="Times New Roman" w:hAnsi="Times New Roman"/>
          <w:b w:val="0"/>
          <w:i w:val="0"/>
          <w:sz w:val="18"/>
        </w:rPr>
        <w:t>[13]</w:t>
      </w:r>
      <w:r>
        <w:rPr>
          <w:rFonts w:ascii="Times New Roman" w:hAnsi="Times New Roman"/>
          <w:b w:val="0"/>
          <w:i w:val="0"/>
          <w:sz w:val="20"/>
        </w:rPr>
        <w:t xml:space="preserve"> applies random rotation matrices before partitioning to improve detection of linearly correlated anomalies. For three-dimensional sensor data (sound, vibration, temperature), the standard IsolationForest is sufficient and computationally efficient.</w:t>
      </w:r>
    </w:p>
    <w:p>
      <w:pPr>
        <w:spacing w:before="0" w:after="80"/>
        <w:ind w:firstLine="259"/>
        <w:jc w:val="both"/>
      </w:pPr>
      <w:r>
        <w:rPr>
          <w:rFonts w:ascii="Times New Roman" w:hAnsi="Times New Roman"/>
          <w:b w:val="0"/>
          <w:i w:val="0"/>
          <w:sz w:val="20"/>
        </w:rPr>
        <w:t xml:space="preserve">Semi-supervised anomaly detection for dissolved oxygen sensors in wastewater treatment plants demonstrates that unsupervised IsolationForest baselines can be improved by incorporating small amounts of labelled data via pseudo-labelling </w:t>
      </w:r>
      <w:r>
        <w:rPr>
          <w:rFonts w:ascii="Times New Roman" w:hAnsi="Times New Roman"/>
          <w:b w:val="0"/>
          <w:i w:val="0"/>
          <w:sz w:val="18"/>
        </w:rPr>
        <w:t>[14]</w:t>
      </w:r>
      <w:r>
        <w:rPr>
          <w:rFonts w:ascii="Times New Roman" w:hAnsi="Times New Roman"/>
          <w:b w:val="0"/>
          <w:i w:val="0"/>
          <w:sz w:val="20"/>
        </w:rPr>
        <w:t>. This finding suggests a natural extension path for the system presented in this paper: once a deployed ETP accumulates operator-confirmed fault events, these can be used to retrain the model with a semi-supervised objective. The current fully unsupervised approach is designed as the appropriate starting point for deployments without historical fault records.</w:t>
      </w:r>
    </w:p>
    <w:p>
      <w:pPr>
        <w:spacing w:before="100" w:after="40"/>
        <w:ind w:firstLine="0"/>
        <w:jc w:val="left"/>
      </w:pPr>
      <w:r>
        <w:rPr>
          <w:rFonts w:ascii="Times New Roman" w:hAnsi="Times New Roman"/>
          <w:b w:val="0"/>
          <w:i/>
          <w:sz w:val="20"/>
        </w:rPr>
        <w:t>D. Federated and Distributed Maintenance</w:t>
      </w:r>
    </w:p>
    <w:p>
      <w:pPr>
        <w:spacing w:before="0" w:after="80"/>
        <w:ind w:firstLine="259"/>
        <w:jc w:val="both"/>
      </w:pPr>
      <w:r>
        <w:rPr>
          <w:rFonts w:ascii="Times New Roman" w:hAnsi="Times New Roman"/>
          <w:b w:val="0"/>
          <w:i w:val="0"/>
          <w:sz w:val="20"/>
        </w:rPr>
        <w:t xml:space="preserve">Federated learning for predictive maintenance using time series data from manufacturing processes demonstrates that a shared global model trained across multiple facilities without sharing raw sensor data achieves 97.2% classification accuracy — competitive with centralised training while preserving data privacy </w:t>
      </w:r>
      <w:r>
        <w:rPr>
          <w:rFonts w:ascii="Times New Roman" w:hAnsi="Times New Roman"/>
          <w:b w:val="0"/>
          <w:i w:val="0"/>
          <w:sz w:val="18"/>
        </w:rPr>
        <w:t>[15]</w:t>
      </w:r>
      <w:r>
        <w:rPr>
          <w:rFonts w:ascii="Times New Roman" w:hAnsi="Times New Roman"/>
          <w:b w:val="0"/>
          <w:i w:val="0"/>
          <w:sz w:val="20"/>
        </w:rPr>
        <w:t>. This result is relevant to the multi-industry deployment context of the PreventiveAgent: the current centralised deployment uses a single IsolationForest trained on synthetic data across Pump and Blower types, but a federated architecture could improve accuracy by incorporating real sensor data from deployed ETPs across multiple industries without centralising proprietary operational data.</w:t>
      </w:r>
    </w:p>
    <w:p>
      <w:pPr>
        <w:spacing w:before="0" w:after="80"/>
        <w:ind w:firstLine="259"/>
        <w:jc w:val="both"/>
      </w:pPr>
      <w:r>
        <w:rPr>
          <w:rFonts w:ascii="Times New Roman" w:hAnsi="Times New Roman"/>
          <w:b w:val="0"/>
          <w:i w:val="0"/>
          <w:sz w:val="20"/>
        </w:rPr>
        <w:t xml:space="preserve">End-to-end IoT analytics architectures with real-time ML inference </w:t>
      </w:r>
      <w:r>
        <w:rPr>
          <w:rFonts w:ascii="Times New Roman" w:hAnsi="Times New Roman"/>
          <w:b w:val="0"/>
          <w:i w:val="0"/>
          <w:sz w:val="18"/>
        </w:rPr>
        <w:t>[16]</w:t>
      </w:r>
      <w:r>
        <w:rPr>
          <w:rFonts w:ascii="Times New Roman" w:hAnsi="Times New Roman"/>
          <w:b w:val="0"/>
          <w:i w:val="0"/>
          <w:sz w:val="20"/>
        </w:rPr>
        <w:t xml:space="preserve"> and two-step ML pipelines for environmental sensor anomaly detection </w:t>
      </w:r>
      <w:r>
        <w:rPr>
          <w:rFonts w:ascii="Times New Roman" w:hAnsi="Times New Roman"/>
          <w:b w:val="0"/>
          <w:i w:val="0"/>
          <w:sz w:val="18"/>
        </w:rPr>
        <w:t>[17]</w:t>
      </w:r>
      <w:r>
        <w:rPr>
          <w:rFonts w:ascii="Times New Roman" w:hAnsi="Times New Roman"/>
          <w:b w:val="0"/>
          <w:i w:val="0"/>
          <w:sz w:val="20"/>
        </w:rPr>
        <w:t xml:space="preserve"> both confirm that the imputer-scaler-model pipeline pattern — used in the PreventiveAgent's scikit-learn Pipeline implementation — is the standard architecture for robust sensor-driven ML inference, providing consistent preprocessing at both training and inference time and tolerating sensor dropout through median imputation.</w:t>
      </w:r>
    </w:p>
    <w:p>
      <w:pPr>
        <w:spacing w:before="160" w:after="60"/>
        <w:ind w:firstLine="0"/>
        <w:jc w:val="center"/>
      </w:pPr>
      <w:r>
        <w:rPr>
          <w:rFonts w:ascii="Times New Roman" w:hAnsi="Times New Roman"/>
          <w:b/>
          <w:i w:val="0"/>
          <w:sz w:val="20"/>
        </w:rPr>
        <w:t>III.  ISO 10816 CALIBRATION AND DATASET DESIGN</w:t>
      </w:r>
    </w:p>
    <w:p>
      <w:pPr>
        <w:spacing w:before="100" w:after="40"/>
        <w:ind w:firstLine="0"/>
        <w:jc w:val="left"/>
      </w:pPr>
      <w:r>
        <w:rPr>
          <w:rFonts w:ascii="Times New Roman" w:hAnsi="Times New Roman"/>
          <w:b w:val="0"/>
          <w:i/>
          <w:sz w:val="20"/>
        </w:rPr>
        <w:t>A. ISO 10816 Vibration Severity Zones</w:t>
      </w:r>
    </w:p>
    <w:p>
      <w:pPr>
        <w:spacing w:before="0" w:after="80"/>
        <w:ind w:firstLine="259"/>
        <w:jc w:val="both"/>
      </w:pPr>
      <w:r>
        <w:rPr>
          <w:rFonts w:ascii="Times New Roman" w:hAnsi="Times New Roman"/>
          <w:b w:val="0"/>
          <w:i w:val="0"/>
          <w:sz w:val="20"/>
        </w:rPr>
        <w:t>ISO 10816 defines vibration severity zones for rotating machinery based on overall vibration velocity measured in mm/s RMS. Four zones are defined: Zone A covers newly commissioned machines or equipment in excellent condition; Zone B covers machines in acceptable long-term operation; Zone C covers machines in a condition that is tolerable for limited periods but warrants investigation; and Zone D covers machines in a fault condition requiring immediate corrective action to prevent damage. The vibration velocity boundaries between zones vary by machine class; for small to medium rotating machines (the class that includes centrifugal pumps and blowers used in ETPs), the boundaries are approximately: Zone A/B transition at 2.8 mm/s RMS, Zone B/C transition at 4.5 mm/s RMS, and Zone C/D transition at 7.1 mm/s RMS.</w:t>
      </w:r>
    </w:p>
    <w:p>
      <w:pPr>
        <w:spacing w:before="0" w:after="80"/>
        <w:ind w:firstLine="259"/>
        <w:jc w:val="both"/>
      </w:pPr>
      <w:r>
        <w:rPr>
          <w:rFonts w:ascii="Times New Roman" w:hAnsi="Times New Roman"/>
          <w:b w:val="0"/>
          <w:i w:val="0"/>
          <w:sz w:val="20"/>
        </w:rPr>
        <w:t>For the purposes of the training dataset, ISO 10816 zones are mapped to three health states: Healthy (Zones A+B combined, vibration &lt;= 4.5 mm/s RMS), Warning (Zone C, 4.5 &lt; vibration &lt;= 7.1 mm/s RMS), and Critical (Zone D, vibration &gt; 7.1 mm/s RMS). Sound level in dB and temperature in degrees Celsius are supplementary features whose normal and fault ranges are derived from ISO 10816 application notes and equipment manufacturer datasheets for centrifugal pumps and blowers in the 0.5-15 kW power class. Table I summarises the feature ranges for each health state class.</w:t>
      </w:r>
    </w:p>
    <w:p>
      <w:pPr>
        <w:spacing w:before="160" w:after="40"/>
        <w:ind w:firstLine="0"/>
        <w:jc w:val="center"/>
      </w:pPr>
      <w:r>
        <w:rPr>
          <w:rFonts w:ascii="Times New Roman" w:hAnsi="Times New Roman"/>
          <w:b/>
          <w:i w:val="0"/>
          <w:sz w:val="18"/>
        </w:rPr>
        <w:t>TABLE I.   FEATURE RANGES BY HEALTH STATE (ISO 10816-CALIBRATED)</w:t>
      </w:r>
    </w:p>
    <w:tbl>
      <w:tblPr>
        <w:tblStyle w:val="TableGrid"/>
        <w:tblW w:type="auto" w:w="0"/>
        <w:jc w:val="center"/>
        <w:tblLook w:firstColumn="1" w:firstRow="1" w:lastColumn="0" w:lastRow="0" w:noHBand="0" w:noVBand="1" w:val="04A0"/>
      </w:tblPr>
      <w:tblGrid>
        <w:gridCol w:w="2571"/>
        <w:gridCol w:w="2571"/>
        <w:gridCol w:w="2571"/>
        <w:gridCol w:w="2571"/>
      </w:tblGrid>
      <w:tr>
        <w:tc>
          <w:tcPr>
            <w:tcW w:type="dxa" w:w="2571"/>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Health State</w:t>
            </w:r>
          </w:p>
        </w:tc>
        <w:tc>
          <w:tcPr>
            <w:tcW w:type="dxa" w:w="2571"/>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Sound (dB)</w:t>
            </w:r>
          </w:p>
        </w:tc>
        <w:tc>
          <w:tcPr>
            <w:tcW w:type="dxa" w:w="2571"/>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Vibration (mm/s RMS)</w:t>
            </w:r>
          </w:p>
        </w:tc>
        <w:tc>
          <w:tcPr>
            <w:tcW w:type="dxa" w:w="2571"/>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Temperature (°C)</w:t>
            </w:r>
          </w:p>
        </w:tc>
      </w:tr>
      <w:tr>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Healthy (A+B)</w:t>
            </w:r>
          </w:p>
        </w:tc>
        <w:tc>
          <w:tcPr>
            <w:tcW w:type="dxa" w:w="2571"/>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55 – 80</w:t>
            </w:r>
          </w:p>
        </w:tc>
        <w:tc>
          <w:tcPr>
            <w:tcW w:type="dxa" w:w="2571"/>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0.5 – 4.5</w:t>
            </w:r>
          </w:p>
        </w:tc>
        <w:tc>
          <w:tcPr>
            <w:tcW w:type="dxa" w:w="2571"/>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30 – 60</w:t>
            </w:r>
          </w:p>
        </w:tc>
      </w:tr>
      <w:tr>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Warning (C)</w:t>
            </w:r>
          </w:p>
        </w:tc>
        <w:tc>
          <w:tcPr>
            <w:tcW w:type="dxa" w:w="2571"/>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81 – 90</w:t>
            </w:r>
          </w:p>
        </w:tc>
        <w:tc>
          <w:tcPr>
            <w:tcW w:type="dxa" w:w="2571"/>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4.5 – 7.1</w:t>
            </w:r>
          </w:p>
        </w:tc>
        <w:tc>
          <w:tcPr>
            <w:tcW w:type="dxa" w:w="2571"/>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61 – 75</w:t>
            </w:r>
          </w:p>
        </w:tc>
      </w:tr>
      <w:tr>
        <w:tc>
          <w:tcPr>
            <w:tcW w:type="dxa" w:w="2571"/>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Critical (D)</w:t>
            </w:r>
          </w:p>
        </w:tc>
        <w:tc>
          <w:tcPr>
            <w:tcW w:type="dxa" w:w="2571"/>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91 – 110</w:t>
            </w:r>
          </w:p>
        </w:tc>
        <w:tc>
          <w:tcPr>
            <w:tcW w:type="dxa" w:w="2571"/>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7.1 – 15.0</w:t>
            </w:r>
          </w:p>
        </w:tc>
        <w:tc>
          <w:tcPr>
            <w:tcW w:type="dxa" w:w="2571"/>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76 – 100</w:t>
            </w:r>
          </w:p>
        </w:tc>
      </w:tr>
    </w:tbl>
    <w:p>
      <w:pPr>
        <w:spacing w:after="100" w:before="0"/>
      </w:pPr>
      <w:r>
        <w:rPr>
          <w:sz w:val="8"/>
        </w:rPr>
        <w:t xml:space="preserve"> </w:t>
      </w:r>
    </w:p>
    <w:p>
      <w:pPr>
        <w:spacing w:before="100" w:after="40"/>
        <w:ind w:firstLine="0"/>
        <w:jc w:val="left"/>
      </w:pPr>
      <w:r>
        <w:rPr>
          <w:rFonts w:ascii="Times New Roman" w:hAnsi="Times New Roman"/>
          <w:b w:val="0"/>
          <w:i/>
          <w:sz w:val="20"/>
        </w:rPr>
        <w:t>B. Synthetic Dataset Generation</w:t>
      </w:r>
    </w:p>
    <w:p>
      <w:pPr>
        <w:spacing w:before="0" w:after="80"/>
        <w:ind w:firstLine="259"/>
        <w:jc w:val="both"/>
      </w:pPr>
      <w:r>
        <w:rPr>
          <w:rFonts w:ascii="Times New Roman" w:hAnsi="Times New Roman"/>
          <w:b w:val="0"/>
          <w:i w:val="0"/>
          <w:sz w:val="20"/>
        </w:rPr>
        <w:t xml:space="preserve">A synthetic training dataset of 2,000 sensor readings is constructed by sampling from truncated uniform distributions within the ISO-calibrated feature ranges for each health state. The class distribution is set to 70% Healthy, 20% Warning, and 10% Critical. This distribution reflects the expected operational prevalence of each state in a functioning ETP: the majority of equipment readings in a well-maintained plant will be in the healthy range, a smaller proportion will show early warning signs, and a minority will be in a critical fault state at any given time. This 70/20/10 split is consistent with contamination rates reported in the predictive maintenance literature for industrial rotating equipment </w:t>
      </w:r>
      <w:r>
        <w:rPr>
          <w:rFonts w:ascii="Times New Roman" w:hAnsi="Times New Roman"/>
          <w:b w:val="0"/>
          <w:i w:val="0"/>
          <w:sz w:val="18"/>
        </w:rPr>
        <w:t>[20]</w:t>
      </w:r>
      <w:r>
        <w:rPr>
          <w:rFonts w:ascii="Times New Roman" w:hAnsi="Times New Roman"/>
          <w:b w:val="0"/>
          <w:i w:val="0"/>
          <w:sz w:val="20"/>
        </w:rPr>
        <w:t>.</w:t>
      </w:r>
    </w:p>
    <w:p>
      <w:pPr>
        <w:spacing w:before="0" w:after="80"/>
        <w:ind w:firstLine="259"/>
        <w:jc w:val="both"/>
      </w:pPr>
      <w:r>
        <w:rPr>
          <w:rFonts w:ascii="Times New Roman" w:hAnsi="Times New Roman"/>
          <w:b w:val="0"/>
          <w:i w:val="0"/>
          <w:sz w:val="20"/>
        </w:rPr>
        <w:t>Gaussian noise with a standard deviation of 5% of the feature range is applied to each sampled reading to simulate sensor measurement noise and prevent the model from learning exact boundary values as decision boundaries. The dataset is generated separately for Pump and Blower equipment types, using the same ISO zone boundaries but slightly different parameter distributions (blowers operate at higher acoustic levels than pumps due to their air-compression function, reflected in an upward shift of approximately 5 dB in the sound feature distributions). Both datasets are combined into a single training corpus for the IsolationForest, which does not use equipment type as a feature — the health state is determined solely from the three sensor readings.</w:t>
      </w:r>
    </w:p>
    <w:p>
      <w:pPr>
        <w:spacing w:before="100" w:after="40"/>
        <w:ind w:firstLine="0"/>
        <w:jc w:val="center"/>
      </w:pPr>
      <w:r>
        <w:rPr>
          <w:rFonts w:ascii="Times New Roman" w:hAnsi="Times New Roman"/>
          <w:b w:val="0"/>
          <w:i/>
          <w:sz w:val="18"/>
        </w:rPr>
        <w:t>Listing 1. Synthetic Dataset Generation (ISO 10816 Calibrated)</w:t>
      </w:r>
    </w:p>
    <w:p>
      <w:pPr>
        <w:spacing w:before="0" w:after="0"/>
        <w:ind w:firstLine="0"/>
        <w:jc w:val="left"/>
        <w:shd w:val="clear" w:color="auto" w:fill="F2F2F2"/>
      </w:pPr>
      <w:r>
        <w:rPr>
          <w:rFonts w:ascii="Courier New" w:hAnsi="Courier New"/>
          <w:sz w:val="16"/>
        </w:rPr>
        <w:t>import numpy as np, pandas as pd</w:t>
      </w:r>
    </w:p>
    <w:p>
      <w:pPr>
        <w:spacing w:before="0" w:after="0"/>
        <w:ind w:firstLine="0"/>
        <w:jc w:val="left"/>
        <w:shd w:val="clear" w:color="auto" w:fill="F2F2F2"/>
      </w:pPr>
      <w:r>
        <w:rPr>
          <w:rFonts w:ascii="Courier New" w:hAnsi="Courier New"/>
          <w:sz w:val="16"/>
        </w:rPr>
        <w:t xml:space="preserve"> </w:t>
      </w:r>
    </w:p>
    <w:p>
      <w:pPr>
        <w:spacing w:before="0" w:after="0"/>
        <w:ind w:firstLine="0"/>
        <w:jc w:val="left"/>
        <w:shd w:val="clear" w:color="auto" w:fill="F2F2F2"/>
      </w:pPr>
      <w:r>
        <w:rPr>
          <w:rFonts w:ascii="Courier New" w:hAnsi="Courier New"/>
          <w:sz w:val="16"/>
        </w:rPr>
        <w:t>RANGES = {</w:t>
      </w:r>
    </w:p>
    <w:p>
      <w:pPr>
        <w:spacing w:before="0" w:after="0"/>
        <w:ind w:firstLine="0"/>
        <w:jc w:val="left"/>
        <w:shd w:val="clear" w:color="auto" w:fill="F2F2F2"/>
      </w:pPr>
      <w:r>
        <w:rPr>
          <w:rFonts w:ascii="Courier New" w:hAnsi="Courier New"/>
          <w:sz w:val="16"/>
        </w:rPr>
        <w:t xml:space="preserve">    'healthy':  {'sound':(55,80),  'vibration':(0.5,4.5), 'temperature':(30,60)},</w:t>
      </w:r>
    </w:p>
    <w:p>
      <w:pPr>
        <w:spacing w:before="0" w:after="0"/>
        <w:ind w:firstLine="0"/>
        <w:jc w:val="left"/>
        <w:shd w:val="clear" w:color="auto" w:fill="F2F2F2"/>
      </w:pPr>
      <w:r>
        <w:rPr>
          <w:rFonts w:ascii="Courier New" w:hAnsi="Courier New"/>
          <w:sz w:val="16"/>
        </w:rPr>
        <w:t xml:space="preserve">    'warning':  {'sound':(81,90),  'vibration':(4.5,7.1), 'temperature':(61,75)},</w:t>
      </w:r>
    </w:p>
    <w:p>
      <w:pPr>
        <w:spacing w:before="0" w:after="0"/>
        <w:ind w:firstLine="0"/>
        <w:jc w:val="left"/>
        <w:shd w:val="clear" w:color="auto" w:fill="F2F2F2"/>
      </w:pPr>
      <w:r>
        <w:rPr>
          <w:rFonts w:ascii="Courier New" w:hAnsi="Courier New"/>
          <w:sz w:val="16"/>
        </w:rPr>
        <w:t xml:space="preserve">    'critical': {'sound':(91,110), 'vibration':(7.1,15.0),'temperature':(76,100)},</w:t>
      </w:r>
    </w:p>
    <w:p>
      <w:pPr>
        <w:spacing w:before="0" w:after="0"/>
        <w:ind w:firstLine="0"/>
        <w:jc w:val="left"/>
        <w:shd w:val="clear" w:color="auto" w:fill="F2F2F2"/>
      </w:pPr>
      <w:r>
        <w:rPr>
          <w:rFonts w:ascii="Courier New" w:hAnsi="Courier New"/>
          <w:sz w:val="16"/>
        </w:rPr>
        <w:t>}</w:t>
      </w:r>
    </w:p>
    <w:p>
      <w:pPr>
        <w:spacing w:before="0" w:after="0"/>
        <w:ind w:firstLine="0"/>
        <w:jc w:val="left"/>
        <w:shd w:val="clear" w:color="auto" w:fill="F2F2F2"/>
      </w:pPr>
      <w:r>
        <w:rPr>
          <w:rFonts w:ascii="Courier New" w:hAnsi="Courier New"/>
          <w:sz w:val="16"/>
        </w:rPr>
        <w:t>DIST = [('healthy',1400), ('warning',400), ('critical',200)]  # 70/20/10</w:t>
      </w:r>
    </w:p>
    <w:p>
      <w:pPr>
        <w:spacing w:before="0" w:after="0"/>
        <w:ind w:firstLine="0"/>
        <w:jc w:val="left"/>
        <w:shd w:val="clear" w:color="auto" w:fill="F2F2F2"/>
      </w:pPr>
      <w:r>
        <w:rPr>
          <w:rFonts w:ascii="Courier New" w:hAnsi="Courier New"/>
          <w:sz w:val="16"/>
        </w:rPr>
        <w:t xml:space="preserve"> </w:t>
      </w:r>
    </w:p>
    <w:p>
      <w:pPr>
        <w:spacing w:before="0" w:after="0"/>
        <w:ind w:firstLine="0"/>
        <w:jc w:val="left"/>
        <w:shd w:val="clear" w:color="auto" w:fill="F2F2F2"/>
      </w:pPr>
      <w:r>
        <w:rPr>
          <w:rFonts w:ascii="Courier New" w:hAnsi="Courier New"/>
          <w:sz w:val="16"/>
        </w:rPr>
        <w:t>rows = []</w:t>
      </w:r>
    </w:p>
    <w:p>
      <w:pPr>
        <w:spacing w:before="0" w:after="0"/>
        <w:ind w:firstLine="0"/>
        <w:jc w:val="left"/>
        <w:shd w:val="clear" w:color="auto" w:fill="F2F2F2"/>
      </w:pPr>
      <w:r>
        <w:rPr>
          <w:rFonts w:ascii="Courier New" w:hAnsi="Courier New"/>
          <w:sz w:val="16"/>
        </w:rPr>
        <w:t>for label, n in DIST:</w:t>
      </w:r>
    </w:p>
    <w:p>
      <w:pPr>
        <w:spacing w:before="0" w:after="0"/>
        <w:ind w:firstLine="0"/>
        <w:jc w:val="left"/>
        <w:shd w:val="clear" w:color="auto" w:fill="F2F2F2"/>
      </w:pPr>
      <w:r>
        <w:rPr>
          <w:rFonts w:ascii="Courier New" w:hAnsi="Courier New"/>
          <w:sz w:val="16"/>
        </w:rPr>
        <w:t xml:space="preserve">    r = RANGES[label]</w:t>
      </w:r>
    </w:p>
    <w:p>
      <w:pPr>
        <w:spacing w:before="0" w:after="0"/>
        <w:ind w:firstLine="0"/>
        <w:jc w:val="left"/>
        <w:shd w:val="clear" w:color="auto" w:fill="F2F2F2"/>
      </w:pPr>
      <w:r>
        <w:rPr>
          <w:rFonts w:ascii="Courier New" w:hAnsi="Courier New"/>
          <w:sz w:val="16"/>
        </w:rPr>
        <w:t xml:space="preserve">    for _ in range(n):</w:t>
      </w:r>
    </w:p>
    <w:p>
      <w:pPr>
        <w:spacing w:before="0" w:after="0"/>
        <w:ind w:firstLine="0"/>
        <w:jc w:val="left"/>
        <w:shd w:val="clear" w:color="auto" w:fill="F2F2F2"/>
      </w:pPr>
      <w:r>
        <w:rPr>
          <w:rFonts w:ascii="Courier New" w:hAnsi="Courier New"/>
          <w:sz w:val="16"/>
        </w:rPr>
        <w:t xml:space="preserve">        s = np.random.uniform(*r['sound'])</w:t>
      </w:r>
    </w:p>
    <w:p>
      <w:pPr>
        <w:spacing w:before="0" w:after="0"/>
        <w:ind w:firstLine="0"/>
        <w:jc w:val="left"/>
        <w:shd w:val="clear" w:color="auto" w:fill="F2F2F2"/>
      </w:pPr>
      <w:r>
        <w:rPr>
          <w:rFonts w:ascii="Courier New" w:hAnsi="Courier New"/>
          <w:sz w:val="16"/>
        </w:rPr>
        <w:t xml:space="preserve">        v = np.random.uniform(*r['vibration'])</w:t>
      </w:r>
    </w:p>
    <w:p>
      <w:pPr>
        <w:spacing w:before="0" w:after="0"/>
        <w:ind w:firstLine="0"/>
        <w:jc w:val="left"/>
        <w:shd w:val="clear" w:color="auto" w:fill="F2F2F2"/>
      </w:pPr>
      <w:r>
        <w:rPr>
          <w:rFonts w:ascii="Courier New" w:hAnsi="Courier New"/>
          <w:sz w:val="16"/>
        </w:rPr>
        <w:t xml:space="preserve">        t = np.random.uniform(*r['temperature'])</w:t>
      </w:r>
    </w:p>
    <w:p>
      <w:pPr>
        <w:spacing w:before="0" w:after="0"/>
        <w:ind w:firstLine="0"/>
        <w:jc w:val="left"/>
        <w:shd w:val="clear" w:color="auto" w:fill="F2F2F2"/>
      </w:pPr>
      <w:r>
        <w:rPr>
          <w:rFonts w:ascii="Courier New" w:hAnsi="Courier New"/>
          <w:sz w:val="16"/>
        </w:rPr>
        <w:t xml:space="preserve">        # Add 5% Gaussian noise</w:t>
      </w:r>
    </w:p>
    <w:p>
      <w:pPr>
        <w:spacing w:before="0" w:after="0"/>
        <w:ind w:firstLine="0"/>
        <w:jc w:val="left"/>
        <w:shd w:val="clear" w:color="auto" w:fill="F2F2F2"/>
      </w:pPr>
      <w:r>
        <w:rPr>
          <w:rFonts w:ascii="Courier New" w:hAnsi="Courier New"/>
          <w:sz w:val="16"/>
        </w:rPr>
        <w:t xml:space="preserve">        noise = lambda x, span: x + np.random.normal(0, 0.05*span)</w:t>
      </w:r>
    </w:p>
    <w:p>
      <w:pPr>
        <w:spacing w:before="0" w:after="0"/>
        <w:ind w:firstLine="0"/>
        <w:jc w:val="left"/>
        <w:shd w:val="clear" w:color="auto" w:fill="F2F2F2"/>
      </w:pPr>
      <w:r>
        <w:rPr>
          <w:rFonts w:ascii="Courier New" w:hAnsi="Courier New"/>
          <w:sz w:val="16"/>
        </w:rPr>
        <w:t xml:space="preserve">        rows.append({'sound': noise(s,55), 'vibration': noise(v,14.5),</w:t>
      </w:r>
    </w:p>
    <w:p>
      <w:pPr>
        <w:spacing w:before="0" w:after="0"/>
        <w:ind w:firstLine="0"/>
        <w:jc w:val="left"/>
        <w:shd w:val="clear" w:color="auto" w:fill="F2F2F2"/>
      </w:pPr>
      <w:r>
        <w:rPr>
          <w:rFonts w:ascii="Courier New" w:hAnsi="Courier New"/>
          <w:sz w:val="16"/>
        </w:rPr>
        <w:t xml:space="preserve">                     'temperature': noise(t,70), 'label': label})</w:t>
      </w:r>
    </w:p>
    <w:p>
      <w:pPr>
        <w:spacing w:before="0" w:after="0"/>
        <w:ind w:firstLine="0"/>
        <w:jc w:val="left"/>
        <w:shd w:val="clear" w:color="auto" w:fill="F2F2F2"/>
      </w:pPr>
      <w:r>
        <w:rPr>
          <w:rFonts w:ascii="Courier New" w:hAnsi="Courier New"/>
          <w:sz w:val="16"/>
        </w:rPr>
        <w:t>df = pd.DataFrame(rows)</w:t>
      </w:r>
    </w:p>
    <w:p>
      <w:pPr>
        <w:spacing w:after="80"/>
      </w:pPr>
    </w:p>
    <w:p>
      <w:pPr>
        <w:spacing w:before="100" w:after="40"/>
        <w:ind w:firstLine="0"/>
        <w:jc w:val="left"/>
      </w:pPr>
      <w:r>
        <w:rPr>
          <w:rFonts w:ascii="Times New Roman" w:hAnsi="Times New Roman"/>
          <w:b w:val="0"/>
          <w:i/>
          <w:sz w:val="20"/>
        </w:rPr>
        <w:t>C. Feature Selection Rationale</w:t>
      </w:r>
    </w:p>
    <w:p>
      <w:pPr>
        <w:spacing w:before="0" w:after="80"/>
        <w:ind w:firstLine="259"/>
        <w:jc w:val="both"/>
      </w:pPr>
      <w:r>
        <w:rPr>
          <w:rFonts w:ascii="Times New Roman" w:hAnsi="Times New Roman"/>
          <w:b w:val="0"/>
          <w:i w:val="0"/>
          <w:sz w:val="20"/>
        </w:rPr>
        <w:t>Three features are used for health classification: sound level (dB), vibration velocity (mm/s RMS), and bearing temperature (degrees Celsius). This compact feature set was chosen for three reasons. First, these three measurements correspond to the most commonly instrumented physical quantities on industrial pumps and blowers, meaning the system requires no specialised sensors beyond standard IoT monitoring kits. Second, they are directly referenced in ISO 10816 and equipment manufacturer alarm specifications, providing an engineering basis for the health class boundaries. Third, the three-dimensional feature space is fully interpretable: a high vibration reading is unambiguously indicative of mechanical degradation, and a high temperature reading indicates thermal stress, regardless of the model's internal decision boundary.</w:t>
      </w:r>
    </w:p>
    <w:p>
      <w:pPr>
        <w:spacing w:before="0" w:after="80"/>
        <w:ind w:firstLine="259"/>
        <w:jc w:val="both"/>
      </w:pPr>
      <w:r>
        <w:rPr>
          <w:rFonts w:ascii="Times New Roman" w:hAnsi="Times New Roman"/>
          <w:b w:val="0"/>
          <w:i w:val="0"/>
          <w:sz w:val="20"/>
        </w:rPr>
        <w:t>Vibration is the primary discriminating feature because ISO 10816 is defined in terms of vibration velocity, making it the most information-rich of the three sensor channels for health state classification. Sound level is a correlated secondary indicator: mechanical faults that produce high vibration typically also increase acoustic emission. Temperature is a tertiary indicator that is especially sensitive to bearing lubrication failure and impeller cavitation, fault modes that may not initially produce strong vibration signatures. The combination of all three channels provides complementary coverage of the most common ETP equipment failure modes.</w:t>
      </w:r>
    </w:p>
    <w:p>
      <w:pPr>
        <w:spacing w:before="160" w:after="60"/>
        <w:ind w:firstLine="0"/>
        <w:jc w:val="center"/>
      </w:pPr>
      <w:r>
        <w:rPr>
          <w:rFonts w:ascii="Times New Roman" w:hAnsi="Times New Roman"/>
          <w:b/>
          <w:i w:val="0"/>
          <w:sz w:val="20"/>
        </w:rPr>
        <w:t>IV.  MODEL ARCHITECTURE AND TRAINING</w:t>
      </w:r>
    </w:p>
    <w:p>
      <w:pPr>
        <w:spacing w:before="100" w:after="40"/>
        <w:ind w:firstLine="0"/>
        <w:jc w:val="left"/>
      </w:pPr>
      <w:r>
        <w:rPr>
          <w:rFonts w:ascii="Times New Roman" w:hAnsi="Times New Roman"/>
          <w:b w:val="0"/>
          <w:i/>
          <w:sz w:val="20"/>
        </w:rPr>
        <w:t>A. IsolationForest Configuration</w:t>
      </w:r>
    </w:p>
    <w:p>
      <w:pPr>
        <w:spacing w:before="0" w:after="80"/>
        <w:ind w:firstLine="259"/>
        <w:jc w:val="both"/>
      </w:pPr>
      <w:r>
        <w:rPr>
          <w:rFonts w:ascii="Times New Roman" w:hAnsi="Times New Roman"/>
          <w:b w:val="0"/>
          <w:i w:val="0"/>
          <w:sz w:val="20"/>
        </w:rPr>
        <w:t xml:space="preserve">The health classification model is an IsolationForest </w:t>
      </w:r>
      <w:r>
        <w:rPr>
          <w:rFonts w:ascii="Times New Roman" w:hAnsi="Times New Roman"/>
          <w:b w:val="0"/>
          <w:i w:val="0"/>
          <w:sz w:val="18"/>
        </w:rPr>
        <w:t>[11]</w:t>
      </w:r>
      <w:r>
        <w:rPr>
          <w:rFonts w:ascii="Times New Roman" w:hAnsi="Times New Roman"/>
          <w:b w:val="0"/>
          <w:i w:val="0"/>
          <w:sz w:val="20"/>
        </w:rPr>
        <w:t xml:space="preserve"> implemented within a scikit-learn Pipeline </w:t>
      </w:r>
      <w:r>
        <w:rPr>
          <w:rFonts w:ascii="Times New Roman" w:hAnsi="Times New Roman"/>
          <w:b w:val="0"/>
          <w:i w:val="0"/>
          <w:sz w:val="18"/>
        </w:rPr>
        <w:t>[21]</w:t>
      </w:r>
      <w:r>
        <w:rPr>
          <w:rFonts w:ascii="Times New Roman" w:hAnsi="Times New Roman"/>
          <w:b w:val="0"/>
          <w:i w:val="0"/>
          <w:sz w:val="20"/>
        </w:rPr>
        <w:t xml:space="preserve"> comprising three stages: a SimpleImputer with median strategy to handle missing sensor readings at inference time; a StandardScaler to normalise the three features to zero mean and unit variance; and the IsolationForest estimator. The Pipeline architecture ensures that the imputation and scaling transformations fitted on the training data are applied consistently at inference time without data leakage.</w:t>
      </w:r>
    </w:p>
    <w:p>
      <w:pPr>
        <w:spacing w:before="0" w:after="80"/>
        <w:ind w:firstLine="259"/>
        <w:jc w:val="both"/>
      </w:pPr>
      <w:r>
        <w:rPr>
          <w:rFonts w:ascii="Times New Roman" w:hAnsi="Times New Roman"/>
          <w:b w:val="0"/>
          <w:i w:val="0"/>
          <w:sz w:val="20"/>
        </w:rPr>
        <w:t>The IsolationForest is configured with contamination=0.30, reflecting the 30% non-healthy fraction in the training data (20% Warning + 10% Critical). The number of estimators is set to 100 (the scikit-learn default), which provides a stable average path length estimate across the three-dimensional feature space. Random state is fixed at 42 for reproducibility. The model is trained on the full 2,000-sample synthetic dataset in a single fit() call and serialised as a pickle artifact at models/equipment_anomaly_model.pkl.</w:t>
      </w:r>
    </w:p>
    <w:p>
      <w:pPr>
        <w:spacing w:before="100" w:after="40"/>
        <w:ind w:firstLine="0"/>
        <w:jc w:val="center"/>
      </w:pPr>
      <w:r>
        <w:rPr>
          <w:rFonts w:ascii="Times New Roman" w:hAnsi="Times New Roman"/>
          <w:b w:val="0"/>
          <w:i/>
          <w:sz w:val="18"/>
        </w:rPr>
        <w:t>Listing 2. IsolationForest Pipeline Training</w:t>
      </w:r>
    </w:p>
    <w:p>
      <w:pPr>
        <w:spacing w:before="0" w:after="0"/>
        <w:ind w:firstLine="0"/>
        <w:jc w:val="left"/>
        <w:shd w:val="clear" w:color="auto" w:fill="F2F2F2"/>
      </w:pPr>
      <w:r>
        <w:rPr>
          <w:rFonts w:ascii="Courier New" w:hAnsi="Courier New"/>
          <w:sz w:val="16"/>
        </w:rPr>
        <w:t>from sklearn.pipeline import Pipeline</w:t>
      </w:r>
    </w:p>
    <w:p>
      <w:pPr>
        <w:spacing w:before="0" w:after="0"/>
        <w:ind w:firstLine="0"/>
        <w:jc w:val="left"/>
        <w:shd w:val="clear" w:color="auto" w:fill="F2F2F2"/>
      </w:pPr>
      <w:r>
        <w:rPr>
          <w:rFonts w:ascii="Courier New" w:hAnsi="Courier New"/>
          <w:sz w:val="16"/>
        </w:rPr>
        <w:t>from sklearn.impute import SimpleImputer</w:t>
      </w:r>
    </w:p>
    <w:p>
      <w:pPr>
        <w:spacing w:before="0" w:after="0"/>
        <w:ind w:firstLine="0"/>
        <w:jc w:val="left"/>
        <w:shd w:val="clear" w:color="auto" w:fill="F2F2F2"/>
      </w:pPr>
      <w:r>
        <w:rPr>
          <w:rFonts w:ascii="Courier New" w:hAnsi="Courier New"/>
          <w:sz w:val="16"/>
        </w:rPr>
        <w:t>from sklearn.preprocessing import StandardScaler</w:t>
      </w:r>
    </w:p>
    <w:p>
      <w:pPr>
        <w:spacing w:before="0" w:after="0"/>
        <w:ind w:firstLine="0"/>
        <w:jc w:val="left"/>
        <w:shd w:val="clear" w:color="auto" w:fill="F2F2F2"/>
      </w:pPr>
      <w:r>
        <w:rPr>
          <w:rFonts w:ascii="Courier New" w:hAnsi="Courier New"/>
          <w:sz w:val="16"/>
        </w:rPr>
        <w:t>from sklearn.ensemble import IsolationForest</w:t>
      </w:r>
    </w:p>
    <w:p>
      <w:pPr>
        <w:spacing w:before="0" w:after="0"/>
        <w:ind w:firstLine="0"/>
        <w:jc w:val="left"/>
        <w:shd w:val="clear" w:color="auto" w:fill="F2F2F2"/>
      </w:pPr>
      <w:r>
        <w:rPr>
          <w:rFonts w:ascii="Courier New" w:hAnsi="Courier New"/>
          <w:sz w:val="16"/>
        </w:rPr>
        <w:t>import pickle, pandas as pd</w:t>
      </w:r>
    </w:p>
    <w:p>
      <w:pPr>
        <w:spacing w:before="0" w:after="0"/>
        <w:ind w:firstLine="0"/>
        <w:jc w:val="left"/>
        <w:shd w:val="clear" w:color="auto" w:fill="F2F2F2"/>
      </w:pPr>
      <w:r>
        <w:rPr>
          <w:rFonts w:ascii="Courier New" w:hAnsi="Courier New"/>
          <w:sz w:val="16"/>
        </w:rPr>
        <w:t xml:space="preserve"> </w:t>
      </w:r>
    </w:p>
    <w:p>
      <w:pPr>
        <w:spacing w:before="0" w:after="0"/>
        <w:ind w:firstLine="0"/>
        <w:jc w:val="left"/>
        <w:shd w:val="clear" w:color="auto" w:fill="F2F2F2"/>
      </w:pPr>
      <w:r>
        <w:rPr>
          <w:rFonts w:ascii="Courier New" w:hAnsi="Courier New"/>
          <w:sz w:val="16"/>
        </w:rPr>
        <w:t>pipeline = Pipeline([</w:t>
      </w:r>
    </w:p>
    <w:p>
      <w:pPr>
        <w:spacing w:before="0" w:after="0"/>
        <w:ind w:firstLine="0"/>
        <w:jc w:val="left"/>
        <w:shd w:val="clear" w:color="auto" w:fill="F2F2F2"/>
      </w:pPr>
      <w:r>
        <w:rPr>
          <w:rFonts w:ascii="Courier New" w:hAnsi="Courier New"/>
          <w:sz w:val="16"/>
        </w:rPr>
        <w:t xml:space="preserve">    ('imputer', SimpleImputer(strategy='median')),</w:t>
      </w:r>
    </w:p>
    <w:p>
      <w:pPr>
        <w:spacing w:before="0" w:after="0"/>
        <w:ind w:firstLine="0"/>
        <w:jc w:val="left"/>
        <w:shd w:val="clear" w:color="auto" w:fill="F2F2F2"/>
      </w:pPr>
      <w:r>
        <w:rPr>
          <w:rFonts w:ascii="Courier New" w:hAnsi="Courier New"/>
          <w:sz w:val="16"/>
        </w:rPr>
        <w:t xml:space="preserve">    ('scaler',  StandardScaler()),</w:t>
      </w:r>
    </w:p>
    <w:p>
      <w:pPr>
        <w:spacing w:before="0" w:after="0"/>
        <w:ind w:firstLine="0"/>
        <w:jc w:val="left"/>
        <w:shd w:val="clear" w:color="auto" w:fill="F2F2F2"/>
      </w:pPr>
      <w:r>
        <w:rPr>
          <w:rFonts w:ascii="Courier New" w:hAnsi="Courier New"/>
          <w:sz w:val="16"/>
        </w:rPr>
        <w:t xml:space="preserve">    ('model',   IsolationForest(contamination=0.30,</w:t>
      </w:r>
    </w:p>
    <w:p>
      <w:pPr>
        <w:spacing w:before="0" w:after="0"/>
        <w:ind w:firstLine="0"/>
        <w:jc w:val="left"/>
        <w:shd w:val="clear" w:color="auto" w:fill="F2F2F2"/>
      </w:pPr>
      <w:r>
        <w:rPr>
          <w:rFonts w:ascii="Courier New" w:hAnsi="Courier New"/>
          <w:sz w:val="16"/>
        </w:rPr>
        <w:t xml:space="preserve">                                n_estimators=100,</w:t>
      </w:r>
    </w:p>
    <w:p>
      <w:pPr>
        <w:spacing w:before="0" w:after="0"/>
        <w:ind w:firstLine="0"/>
        <w:jc w:val="left"/>
        <w:shd w:val="clear" w:color="auto" w:fill="F2F2F2"/>
      </w:pPr>
      <w:r>
        <w:rPr>
          <w:rFonts w:ascii="Courier New" w:hAnsi="Courier New"/>
          <w:sz w:val="16"/>
        </w:rPr>
        <w:t xml:space="preserve">                                random_state=42))</w:t>
      </w:r>
    </w:p>
    <w:p>
      <w:pPr>
        <w:spacing w:before="0" w:after="0"/>
        <w:ind w:firstLine="0"/>
        <w:jc w:val="left"/>
        <w:shd w:val="clear" w:color="auto" w:fill="F2F2F2"/>
      </w:pPr>
      <w:r>
        <w:rPr>
          <w:rFonts w:ascii="Courier New" w:hAnsi="Courier New"/>
          <w:sz w:val="16"/>
        </w:rPr>
        <w:t>])</w:t>
      </w:r>
    </w:p>
    <w:p>
      <w:pPr>
        <w:spacing w:before="0" w:after="0"/>
        <w:ind w:firstLine="0"/>
        <w:jc w:val="left"/>
        <w:shd w:val="clear" w:color="auto" w:fill="F2F2F2"/>
      </w:pPr>
      <w:r>
        <w:rPr>
          <w:rFonts w:ascii="Courier New" w:hAnsi="Courier New"/>
          <w:sz w:val="16"/>
        </w:rPr>
        <w:t xml:space="preserve"> </w:t>
      </w:r>
    </w:p>
    <w:p>
      <w:pPr>
        <w:spacing w:before="0" w:after="0"/>
        <w:ind w:firstLine="0"/>
        <w:jc w:val="left"/>
        <w:shd w:val="clear" w:color="auto" w:fill="F2F2F2"/>
      </w:pPr>
      <w:r>
        <w:rPr>
          <w:rFonts w:ascii="Courier New" w:hAnsi="Courier New"/>
          <w:sz w:val="16"/>
        </w:rPr>
        <w:t>feature_cols = ['sound', 'vibration', 'temperature']</w:t>
      </w:r>
    </w:p>
    <w:p>
      <w:pPr>
        <w:spacing w:before="0" w:after="0"/>
        <w:ind w:firstLine="0"/>
        <w:jc w:val="left"/>
        <w:shd w:val="clear" w:color="auto" w:fill="F2F2F2"/>
      </w:pPr>
      <w:r>
        <w:rPr>
          <w:rFonts w:ascii="Courier New" w:hAnsi="Courier New"/>
          <w:sz w:val="16"/>
        </w:rPr>
        <w:t>X_train = df[feature_cols]</w:t>
      </w:r>
    </w:p>
    <w:p>
      <w:pPr>
        <w:spacing w:before="0" w:after="0"/>
        <w:ind w:firstLine="0"/>
        <w:jc w:val="left"/>
        <w:shd w:val="clear" w:color="auto" w:fill="F2F2F2"/>
      </w:pPr>
      <w:r>
        <w:rPr>
          <w:rFonts w:ascii="Courier New" w:hAnsi="Courier New"/>
          <w:sz w:val="16"/>
        </w:rPr>
        <w:t>pipeline.fit(X_train)   # unsupervised — no y</w:t>
      </w:r>
    </w:p>
    <w:p>
      <w:pPr>
        <w:spacing w:before="0" w:after="0"/>
        <w:ind w:firstLine="0"/>
        <w:jc w:val="left"/>
        <w:shd w:val="clear" w:color="auto" w:fill="F2F2F2"/>
      </w:pPr>
      <w:r>
        <w:rPr>
          <w:rFonts w:ascii="Courier New" w:hAnsi="Courier New"/>
          <w:sz w:val="16"/>
        </w:rPr>
        <w:t xml:space="preserve"> </w:t>
      </w:r>
    </w:p>
    <w:p>
      <w:pPr>
        <w:spacing w:before="0" w:after="0"/>
        <w:ind w:firstLine="0"/>
        <w:jc w:val="left"/>
        <w:shd w:val="clear" w:color="auto" w:fill="F2F2F2"/>
      </w:pPr>
      <w:r>
        <w:rPr>
          <w:rFonts w:ascii="Courier New" w:hAnsi="Courier New"/>
          <w:sz w:val="16"/>
        </w:rPr>
        <w:t>artifact = {'pipeline': pipeline, 'feature_columns': feature_cols,</w:t>
      </w:r>
    </w:p>
    <w:p>
      <w:pPr>
        <w:spacing w:before="0" w:after="0"/>
        <w:ind w:firstLine="0"/>
        <w:jc w:val="left"/>
        <w:shd w:val="clear" w:color="auto" w:fill="F2F2F2"/>
      </w:pPr>
      <w:r>
        <w:rPr>
          <w:rFonts w:ascii="Courier New" w:hAnsi="Courier New"/>
          <w:sz w:val="16"/>
        </w:rPr>
        <w:t xml:space="preserve">            'contamination': 0.30}</w:t>
      </w:r>
    </w:p>
    <w:p>
      <w:pPr>
        <w:spacing w:before="0" w:after="0"/>
        <w:ind w:firstLine="0"/>
        <w:jc w:val="left"/>
        <w:shd w:val="clear" w:color="auto" w:fill="F2F2F2"/>
      </w:pPr>
      <w:r>
        <w:rPr>
          <w:rFonts w:ascii="Courier New" w:hAnsi="Courier New"/>
          <w:sz w:val="16"/>
        </w:rPr>
        <w:t>pickle.dump(artifact, open('models/equipment_anomaly_model.pkl','wb'))</w:t>
      </w:r>
    </w:p>
    <w:p>
      <w:pPr>
        <w:spacing w:after="80"/>
      </w:pPr>
    </w:p>
    <w:p>
      <w:pPr>
        <w:spacing w:before="100" w:after="40"/>
        <w:ind w:firstLine="0"/>
        <w:jc w:val="left"/>
      </w:pPr>
      <w:r>
        <w:rPr>
          <w:rFonts w:ascii="Times New Roman" w:hAnsi="Times New Roman"/>
          <w:b w:val="0"/>
          <w:i/>
          <w:sz w:val="20"/>
        </w:rPr>
        <w:t>B. Score Interpretation and Health Classification</w:t>
      </w:r>
    </w:p>
    <w:p>
      <w:pPr>
        <w:spacing w:before="0" w:after="80"/>
        <w:ind w:firstLine="259"/>
        <w:jc w:val="both"/>
      </w:pPr>
      <w:r>
        <w:rPr>
          <w:rFonts w:ascii="Times New Roman" w:hAnsi="Times New Roman"/>
          <w:b w:val="0"/>
          <w:i w:val="0"/>
          <w:sz w:val="20"/>
        </w:rPr>
        <w:t>At inference time, the pipeline's decision_function() method returns an anomaly score for each input sample. The score is bounded: positive scores indicate normal observations (the observation lies in a dense region of the training distribution) and negative scores indicate anomalous observations (the observation lies in a sparse region). The magnitude of a negative score reflects the degree of anomaly: a score of -0.1 indicates a mild anomaly, while a score of -0.5 indicates a severe anomaly far from the training distribution.</w:t>
      </w:r>
    </w:p>
    <w:p>
      <w:pPr>
        <w:spacing w:before="0" w:after="80"/>
        <w:ind w:firstLine="259"/>
        <w:jc w:val="both"/>
      </w:pPr>
      <w:r>
        <w:rPr>
          <w:rFonts w:ascii="Times New Roman" w:hAnsi="Times New Roman"/>
          <w:b w:val="0"/>
          <w:i w:val="0"/>
          <w:sz w:val="20"/>
        </w:rPr>
        <w:t>The two-stage classification scheme maps the IF score to health states as follows: scores &gt;= 0 are classified as Healthy; scores in [-0.2, 0) are classified as Warning; scores &lt; -0.2 are classified as Critical. These thresholds were calibrated on the validation set to align the predicted health state boundaries with the ISO 10816 zone boundaries. The score-based classification is applied in the PreventiveAgent after the IF score is computed, independently for each equipment unit in the fleet. The final health state is the more conservative of the IF-based classification and the ISO threshold-based classification (i.e., if either method flags Critical, the unit is reported as Critical).</w:t>
      </w:r>
    </w:p>
    <w:tbl>
      <w:tblPr>
        <w:tblW w:type="auto" w:w="0"/>
        <w:jc w:val="center"/>
        <w:tblLook w:firstColumn="1" w:firstRow="1" w:lastColumn="0" w:lastRow="0" w:noHBand="0" w:noVBand="1" w:val="04A0"/>
      </w:tblPr>
      <w:tblGrid>
        <w:gridCol w:w="10286"/>
      </w:tblGrid>
      <w:tr>
        <w:tc>
          <w:tcPr>
            <w:tcW w:type="dxa" w:w="10286"/>
            <w:shd w:val="clear" w:color="auto" w:fill="F5F5F5"/>
            <w:tcBorders>
              <w:top w:val="single" w:sz="4" w:space="0" w:color="000000"/>
              <w:bottom w:val="single" w:sz="4" w:space="0" w:color="000000"/>
              <w:left w:val="single" w:sz="4" w:space="0" w:color="000000"/>
              <w:right w:val="single" w:sz="4" w:space="0" w:color="000000"/>
            </w:tcBorders>
          </w:tcPr>
          <w:p>
            <w:r/>
          </w:p>
          <w:p>
            <w:pPr>
              <w:spacing w:before="0" w:after="0"/>
              <w:ind w:firstLine="0"/>
            </w:pPr>
            <w:r>
              <w:rPr>
                <w:rFonts w:ascii="Courier New" w:hAnsi="Courier New"/>
                <w:sz w:val="16"/>
              </w:rPr>
              <w:t xml:space="preserve">  Input: {sound, vibration, temperature}</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  scikit-learn Pipeline      │</w:t>
            </w:r>
          </w:p>
          <w:p>
            <w:pPr>
              <w:spacing w:before="0" w:after="0"/>
              <w:ind w:firstLine="0"/>
            </w:pPr>
            <w:r>
              <w:rPr>
                <w:rFonts w:ascii="Courier New" w:hAnsi="Courier New"/>
                <w:sz w:val="16"/>
              </w:rPr>
              <w:t xml:space="preserve">  │  ┌───────────────────────┐  │</w:t>
            </w:r>
          </w:p>
          <w:p>
            <w:pPr>
              <w:spacing w:before="0" w:after="0"/>
              <w:ind w:firstLine="0"/>
            </w:pPr>
            <w:r>
              <w:rPr>
                <w:rFonts w:ascii="Courier New" w:hAnsi="Courier New"/>
                <w:sz w:val="16"/>
              </w:rPr>
              <w:t xml:space="preserve">  │  │ SimpleImputer(median) │  │</w:t>
            </w:r>
          </w:p>
          <w:p>
            <w:pPr>
              <w:spacing w:before="0" w:after="0"/>
              <w:ind w:firstLine="0"/>
            </w:pPr>
            <w:r>
              <w:rPr>
                <w:rFonts w:ascii="Courier New" w:hAnsi="Courier New"/>
                <w:sz w:val="16"/>
              </w:rPr>
              <w:t xml:space="preserve">  │  └──────────┬────────────┘  │</w:t>
            </w:r>
          </w:p>
          <w:p>
            <w:pPr>
              <w:spacing w:before="0" w:after="0"/>
              <w:ind w:firstLine="0"/>
            </w:pPr>
            <w:r>
              <w:rPr>
                <w:rFonts w:ascii="Courier New" w:hAnsi="Courier New"/>
                <w:sz w:val="16"/>
              </w:rPr>
              <w:t xml:space="preserve">  │  ┌──────────▼────────────┐  │</w:t>
            </w:r>
          </w:p>
          <w:p>
            <w:pPr>
              <w:spacing w:before="0" w:after="0"/>
              <w:ind w:firstLine="0"/>
            </w:pPr>
            <w:r>
              <w:rPr>
                <w:rFonts w:ascii="Courier New" w:hAnsi="Courier New"/>
                <w:sz w:val="16"/>
              </w:rPr>
              <w:t xml:space="preserve">  │  │  StandardScaler       │  │</w:t>
            </w:r>
          </w:p>
          <w:p>
            <w:pPr>
              <w:spacing w:before="0" w:after="0"/>
              <w:ind w:firstLine="0"/>
            </w:pPr>
            <w:r>
              <w:rPr>
                <w:rFonts w:ascii="Courier New" w:hAnsi="Courier New"/>
                <w:sz w:val="16"/>
              </w:rPr>
              <w:t xml:space="preserve">  │  └──────────┬────────────┘  │</w:t>
            </w:r>
          </w:p>
          <w:p>
            <w:pPr>
              <w:spacing w:before="0" w:after="0"/>
              <w:ind w:firstLine="0"/>
            </w:pPr>
            <w:r>
              <w:rPr>
                <w:rFonts w:ascii="Courier New" w:hAnsi="Courier New"/>
                <w:sz w:val="16"/>
              </w:rPr>
              <w:t xml:space="preserve">  │  ┌──────────▼────────────┐  │</w:t>
            </w:r>
          </w:p>
          <w:p>
            <w:pPr>
              <w:spacing w:before="0" w:after="0"/>
              <w:ind w:firstLine="0"/>
            </w:pPr>
            <w:r>
              <w:rPr>
                <w:rFonts w:ascii="Courier New" w:hAnsi="Courier New"/>
                <w:sz w:val="16"/>
              </w:rPr>
              <w:t xml:space="preserve">  │  │  IsolationForest      │  │</w:t>
            </w:r>
          </w:p>
          <w:p>
            <w:pPr>
              <w:spacing w:before="0" w:after="0"/>
              <w:ind w:firstLine="0"/>
            </w:pPr>
            <w:r>
              <w:rPr>
                <w:rFonts w:ascii="Courier New" w:hAnsi="Courier New"/>
                <w:sz w:val="16"/>
              </w:rPr>
              <w:t xml:space="preserve">  │  │  contamination=0.30   │  │</w:t>
            </w:r>
          </w:p>
          <w:p>
            <w:pPr>
              <w:spacing w:before="0" w:after="0"/>
              <w:ind w:firstLine="0"/>
            </w:pPr>
            <w:r>
              <w:rPr>
                <w:rFonts w:ascii="Courier New" w:hAnsi="Courier New"/>
                <w:sz w:val="16"/>
              </w:rPr>
              <w:t xml:space="preserve">  │  └──────────┬────────────┘  │</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 anomaly score</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score &gt;= 0   → Healthy</w:t>
            </w:r>
          </w:p>
          <w:p>
            <w:pPr>
              <w:spacing w:before="0" w:after="0"/>
              <w:ind w:firstLine="0"/>
            </w:pPr>
            <w:r>
              <w:rPr>
                <w:rFonts w:ascii="Courier New" w:hAnsi="Courier New"/>
                <w:sz w:val="16"/>
              </w:rPr>
              <w:t xml:space="preserve">  -0.2 &lt;= s &lt; 0 → Warning</w:t>
            </w:r>
          </w:p>
          <w:p>
            <w:pPr>
              <w:spacing w:before="0" w:after="0"/>
              <w:ind w:firstLine="0"/>
            </w:pPr>
            <w:r>
              <w:rPr>
                <w:rFonts w:ascii="Courier New" w:hAnsi="Courier New"/>
                <w:sz w:val="16"/>
              </w:rPr>
              <w:t xml:space="preserve">   score &lt; -0.2 → Critical</w:t>
            </w:r>
          </w:p>
          <w:p>
            <w:pPr>
              <w:spacing w:before="0" w:after="0"/>
              <w:ind w:firstLine="0"/>
            </w:pPr>
            <w:r>
              <w:rPr>
                <w:rFonts w:ascii="Courier New" w:hAnsi="Courier New"/>
                <w:sz w:val="16"/>
              </w:rPr>
              <w:t xml:space="preserve">                │</w:t>
            </w:r>
          </w:p>
          <w:p>
            <w:pPr>
              <w:spacing w:before="0" w:after="0"/>
              <w:ind w:firstLine="0"/>
            </w:pPr>
            <w:r>
              <w:rPr>
                <w:rFonts w:ascii="Courier New" w:hAnsi="Courier New"/>
                <w:sz w:val="16"/>
              </w:rPr>
              <w:t xml:space="preserve">                ▼ + ISO threshold check</w:t>
            </w:r>
          </w:p>
          <w:p>
            <w:pPr>
              <w:spacing w:before="0" w:after="0"/>
              <w:ind w:firstLine="0"/>
            </w:pPr>
            <w:r>
              <w:rPr>
                <w:rFonts w:ascii="Courier New" w:hAnsi="Courier New"/>
                <w:sz w:val="16"/>
              </w:rPr>
              <w:t xml:space="preserve">   Final Health State (conservative)</w:t>
            </w:r>
          </w:p>
        </w:tc>
      </w:tr>
    </w:tbl>
    <w:p>
      <w:pPr>
        <w:spacing w:before="80" w:after="120"/>
        <w:ind w:firstLine="0"/>
        <w:jc w:val="center"/>
      </w:pPr>
      <w:r>
        <w:rPr>
          <w:rFonts w:ascii="Times New Roman" w:hAnsi="Times New Roman"/>
          <w:b w:val="0"/>
          <w:i w:val="0"/>
          <w:sz w:val="18"/>
        </w:rPr>
        <w:t>Fig. 1.  IsolationForest inference pipeline and health state classification logic.</w:t>
      </w:r>
    </w:p>
    <w:p>
      <w:pPr>
        <w:spacing w:before="160" w:after="60"/>
        <w:ind w:firstLine="0"/>
        <w:jc w:val="center"/>
      </w:pPr>
      <w:r>
        <w:rPr>
          <w:rFonts w:ascii="Times New Roman" w:hAnsi="Times New Roman"/>
          <w:b/>
          <w:i w:val="0"/>
          <w:sz w:val="20"/>
        </w:rPr>
        <w:t>V.  PREVENTIVEAGENT AND FLEET ANALYSIS</w:t>
      </w:r>
    </w:p>
    <w:p>
      <w:pPr>
        <w:spacing w:before="100" w:after="40"/>
        <w:ind w:firstLine="0"/>
        <w:jc w:val="left"/>
      </w:pPr>
      <w:r>
        <w:rPr>
          <w:rFonts w:ascii="Times New Roman" w:hAnsi="Times New Roman"/>
          <w:b w:val="0"/>
          <w:i/>
          <w:sz w:val="20"/>
        </w:rPr>
        <w:t>A. Industry Equipment Registry</w:t>
      </w:r>
    </w:p>
    <w:p>
      <w:pPr>
        <w:spacing w:before="0" w:after="80"/>
        <w:ind w:firstLine="259"/>
        <w:jc w:val="both"/>
      </w:pPr>
      <w:r>
        <w:rPr>
          <w:rFonts w:ascii="Times New Roman" w:hAnsi="Times New Roman"/>
          <w:b w:val="0"/>
          <w:i w:val="0"/>
          <w:sz w:val="20"/>
        </w:rPr>
        <w:t>The PreventiveAgent serves seventeen industrial sector configurations, each with a distinct equipment roster defined in config/equipment_registry.py. Equipment rosters contain between four and eight units per industry, comprising a mix of pumps (influent, effluent, sludge, chemical dosing) and blowers (aeration, biogas, diffuse air). Each equipment unit has a name, a type (Pump or Blower), a location string, and a set of ISO baseline default parameter values used to seed the frontend slider interface. Industry sub-category IDs are resolved to root roster IDs through a SUB_TO_ROOT mapping: for example, grain sub-category IDs resolve to the distillery roster, and pharmaceutical sub-categories resolve to the pharma roster.</w:t>
      </w:r>
    </w:p>
    <w:p>
      <w:pPr>
        <w:spacing w:before="0" w:after="80"/>
        <w:ind w:firstLine="259"/>
        <w:jc w:val="both"/>
      </w:pPr>
      <w:r>
        <w:rPr>
          <w:rFonts w:ascii="Times New Roman" w:hAnsi="Times New Roman"/>
          <w:b w:val="0"/>
          <w:i w:val="0"/>
          <w:sz w:val="20"/>
        </w:rPr>
        <w:t>The registry design separates the equipment definition from the health classification model, enabling new industry configurations to be added by defining a roster in config/equipment_registry.py without retraining the IsolationForest. This is appropriate because the model is trained on sensor physics (sound, vibration, temperature of pump/blower class machines) rather than industry-specific operational data — the same ISO 10816 zone boundaries apply to a pump in a distillery ETP as to a pump in a pharmaceutical ETP.</w:t>
      </w:r>
    </w:p>
    <w:p>
      <w:pPr>
        <w:spacing w:before="100" w:after="40"/>
        <w:ind w:firstLine="0"/>
        <w:jc w:val="left"/>
      </w:pPr>
      <w:r>
        <w:rPr>
          <w:rFonts w:ascii="Times New Roman" w:hAnsi="Times New Roman"/>
          <w:b w:val="0"/>
          <w:i/>
          <w:sz w:val="20"/>
        </w:rPr>
        <w:t>B. Fleet Analysis Workflow</w:t>
      </w:r>
    </w:p>
    <w:p>
      <w:pPr>
        <w:spacing w:before="0" w:after="80"/>
        <w:ind w:firstLine="259"/>
        <w:jc w:val="both"/>
      </w:pPr>
      <w:r>
        <w:rPr>
          <w:rFonts w:ascii="Times New Roman" w:hAnsi="Times New Roman"/>
          <w:b w:val="0"/>
          <w:i w:val="0"/>
          <w:sz w:val="20"/>
        </w:rPr>
        <w:t>The /preventive/analyze endpoint accepts a JSON body containing the industry_id, an operation mode (collective or individual), and a list of equipment objects each with id, name, type, location, and a parameters dictionary containing current sound, vibration, and temperature readings. The PreventiveAgent's analyze_fleet() method processes each unit in the equipment list sequentially, running the IsolationForest pipeline and ISO threshold check, and aggregating the results into a FleetAnalysisResult containing per-unit health states and a fleet-level health summary.</w:t>
      </w:r>
    </w:p>
    <w:p>
      <w:pPr>
        <w:spacing w:before="0" w:after="80"/>
        <w:ind w:firstLine="259"/>
        <w:jc w:val="both"/>
      </w:pPr>
      <w:r>
        <w:rPr>
          <w:rFonts w:ascii="Times New Roman" w:hAnsi="Times New Roman"/>
          <w:b w:val="0"/>
          <w:i w:val="0"/>
          <w:sz w:val="20"/>
        </w:rPr>
        <w:t>Fleet-level health is computed as the most severe health state observed across all units: if any unit is Critical, the fleet health is Critical; if any unit is Warning and none is Critical, the fleet health is Warning; otherwise the fleet health is Healthy. A critical_count and warning_count are reported alongside the fleet health to quantify the scope of the issue. The FleetAnalysisResult is then passed to the LLMAgent, which generates per-unit maintenance action plans for all Warning and Critical units using the MaintenanceSchema Pydantic structure.</w:t>
      </w:r>
    </w:p>
    <w:p>
      <w:pPr>
        <w:spacing w:before="160" w:after="40"/>
        <w:ind w:firstLine="0"/>
        <w:jc w:val="center"/>
      </w:pPr>
      <w:r>
        <w:rPr>
          <w:rFonts w:ascii="Times New Roman" w:hAnsi="Times New Roman"/>
          <w:b/>
          <w:i w:val="0"/>
          <w:sz w:val="18"/>
        </w:rPr>
        <w:t>TABLE II.   PREVENTIVEAGENT FLEET ANALYSIS RESPONSE FIELDS</w:t>
      </w:r>
    </w:p>
    <w:tbl>
      <w:tblPr>
        <w:tblStyle w:val="TableGrid"/>
        <w:tblW w:type="auto" w:w="0"/>
        <w:jc w:val="center"/>
        <w:tblLook w:firstColumn="1" w:firstRow="1" w:lastColumn="0" w:lastRow="0" w:noHBand="0" w:noVBand="1" w:val="04A0"/>
      </w:tblPr>
      <w:tblGrid>
        <w:gridCol w:w="3429"/>
        <w:gridCol w:w="3429"/>
        <w:gridCol w:w="3429"/>
      </w:tblGrid>
      <w:tr>
        <w:tc>
          <w:tcPr>
            <w:tcW w:type="dxa" w:w="3429"/>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Field</w:t>
            </w:r>
          </w:p>
        </w:tc>
        <w:tc>
          <w:tcPr>
            <w:tcW w:type="dxa" w:w="3429"/>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Type</w:t>
            </w:r>
          </w:p>
        </w:tc>
        <w:tc>
          <w:tcPr>
            <w:tcW w:type="dxa" w:w="3429"/>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Description</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fleet_health</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str</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Critical | Warning | Healthy</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critical_count</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int</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Units in Critical state</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warning_count</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int</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Units in Warning state</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healthy_count</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int</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Units in Healthy state</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equipment_results</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list[dict]</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Per-unit score, state, threshold flags</w:t>
            </w:r>
          </w:p>
        </w:tc>
      </w:tr>
      <w:tr>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insights</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dict</w:t>
            </w:r>
          </w:p>
        </w:tc>
        <w:tc>
          <w:tcPr>
            <w:tcW w:type="dxa" w:w="3429"/>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Gemini MaintenanceSchema (or template)</w:t>
            </w:r>
          </w:p>
        </w:tc>
      </w:tr>
    </w:tbl>
    <w:p>
      <w:pPr>
        <w:spacing w:after="100" w:before="0"/>
      </w:pPr>
      <w:r>
        <w:rPr>
          <w:sz w:val="8"/>
        </w:rPr>
        <w:t xml:space="preserve"> </w:t>
      </w:r>
    </w:p>
    <w:p>
      <w:pPr>
        <w:spacing w:before="160" w:after="60"/>
        <w:ind w:firstLine="0"/>
        <w:jc w:val="center"/>
      </w:pPr>
      <w:r>
        <w:rPr>
          <w:rFonts w:ascii="Times New Roman" w:hAnsi="Times New Roman"/>
          <w:b/>
          <w:i w:val="0"/>
          <w:sz w:val="20"/>
        </w:rPr>
        <w:t>VI.  EVALUATION</w:t>
      </w:r>
    </w:p>
    <w:p>
      <w:pPr>
        <w:spacing w:before="100" w:after="40"/>
        <w:ind w:firstLine="0"/>
        <w:jc w:val="left"/>
      </w:pPr>
      <w:r>
        <w:rPr>
          <w:rFonts w:ascii="Times New Roman" w:hAnsi="Times New Roman"/>
          <w:b w:val="0"/>
          <w:i/>
          <w:sz w:val="20"/>
        </w:rPr>
        <w:t>A. Classification Accuracy on ISO-Calibrated Test Set</w:t>
      </w:r>
    </w:p>
    <w:p>
      <w:pPr>
        <w:spacing w:before="0" w:after="80"/>
        <w:ind w:firstLine="259"/>
        <w:jc w:val="both"/>
      </w:pPr>
      <w:r>
        <w:rPr>
          <w:rFonts w:ascii="Times New Roman" w:hAnsi="Times New Roman"/>
          <w:b w:val="0"/>
          <w:i w:val="0"/>
          <w:sz w:val="20"/>
        </w:rPr>
        <w:t>A held-out test set of 500 samples was generated using the same ISO-calibrated sampling procedure as the training set, with the same 70/20/10 class distribution and 5% Gaussian noise. The IsolationForest pipeline was evaluated on this test set using per-class precision, recall, and F1-score. Table III reports the results. [PLACEHOLDER: Shreyansh — run training/train_equipment_anomaly.py, extract per-class metrics from the training output, and replace all [P] values with measured numbers. Also compute a confusion matrix and report it here or as an additional table.]</w:t>
      </w:r>
    </w:p>
    <w:p>
      <w:pPr>
        <w:spacing w:before="160" w:after="40"/>
        <w:ind w:firstLine="0"/>
        <w:jc w:val="center"/>
      </w:pPr>
      <w:r>
        <w:rPr>
          <w:rFonts w:ascii="Times New Roman" w:hAnsi="Times New Roman"/>
          <w:b/>
          <w:i w:val="0"/>
          <w:sz w:val="18"/>
        </w:rPr>
        <w:t>TABLE III.   ISOLATIONFOREST CLASSIFICATION RESULTS (ISO-CALIBRATED TEST SET, N=500)</w:t>
      </w:r>
    </w:p>
    <w:tbl>
      <w:tblPr>
        <w:tblStyle w:val="TableGrid"/>
        <w:tblW w:type="auto" w:w="0"/>
        <w:jc w:val="center"/>
        <w:tblLook w:firstColumn="1" w:firstRow="1" w:lastColumn="0" w:lastRow="0" w:noHBand="0" w:noVBand="1" w:val="04A0"/>
      </w:tblPr>
      <w:tblGrid>
        <w:gridCol w:w="2057"/>
        <w:gridCol w:w="2057"/>
        <w:gridCol w:w="2057"/>
        <w:gridCol w:w="2057"/>
        <w:gridCol w:w="2057"/>
      </w:tblGrid>
      <w:tr>
        <w:tc>
          <w:tcPr>
            <w:tcW w:type="dxa" w:w="2057"/>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Class</w:t>
            </w:r>
          </w:p>
        </w:tc>
        <w:tc>
          <w:tcPr>
            <w:tcW w:type="dxa" w:w="2057"/>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Precision</w:t>
            </w:r>
          </w:p>
        </w:tc>
        <w:tc>
          <w:tcPr>
            <w:tcW w:type="dxa" w:w="2057"/>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Recall</w:t>
            </w:r>
          </w:p>
        </w:tc>
        <w:tc>
          <w:tcPr>
            <w:tcW w:type="dxa" w:w="2057"/>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F1-Score</w:t>
            </w:r>
          </w:p>
        </w:tc>
        <w:tc>
          <w:tcPr>
            <w:tcW w:type="dxa" w:w="2057"/>
            <w:shd w:val="clear" w:color="auto" w:fill="D9D9D9"/>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i w:val="0"/>
                <w:sz w:val="18"/>
              </w:rPr>
              <w:t>Support</w:t>
            </w:r>
          </w:p>
        </w:tc>
      </w:tr>
      <w:tr>
        <w:tc>
          <w:tcPr>
            <w:tcW w:type="dxa" w:w="2057"/>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Healthy</w:t>
            </w:r>
          </w:p>
        </w:tc>
        <w:tc>
          <w:tcPr>
            <w:tcW w:type="dxa" w:w="2057"/>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2057"/>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2057"/>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2057"/>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350</w:t>
            </w:r>
          </w:p>
        </w:tc>
      </w:tr>
      <w:tr>
        <w:tc>
          <w:tcPr>
            <w:tcW w:type="dxa" w:w="2057"/>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Warning</w:t>
            </w:r>
          </w:p>
        </w:tc>
        <w:tc>
          <w:tcPr>
            <w:tcW w:type="dxa" w:w="2057"/>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2057"/>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2057"/>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2057"/>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100</w:t>
            </w:r>
          </w:p>
        </w:tc>
      </w:tr>
      <w:tr>
        <w:tc>
          <w:tcPr>
            <w:tcW w:type="dxa" w:w="2057"/>
            <w:tcBorders>
              <w:top w:val="single" w:sz="4" w:space="0" w:color="000000"/>
              <w:bottom w:val="single" w:sz="4" w:space="0" w:color="000000"/>
              <w:left w:val="single" w:sz="4" w:space="0" w:color="000000"/>
              <w:right w:val="single" w:sz="4" w:space="0" w:color="000000"/>
            </w:tcBorders>
          </w:tcPr>
          <w:p>
            <w:pPr>
              <w:jc w:val="left"/>
            </w:pPr>
            <w:r/>
            <w:r>
              <w:rPr>
                <w:rFonts w:ascii="Times New Roman" w:hAnsi="Times New Roman"/>
                <w:b w:val="0"/>
                <w:i w:val="0"/>
                <w:sz w:val="18"/>
              </w:rPr>
              <w:t>Critical</w:t>
            </w:r>
          </w:p>
        </w:tc>
        <w:tc>
          <w:tcPr>
            <w:tcW w:type="dxa" w:w="2057"/>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2057"/>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2057"/>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[P]</w:t>
            </w:r>
          </w:p>
        </w:tc>
        <w:tc>
          <w:tcPr>
            <w:tcW w:type="dxa" w:w="2057"/>
            <w:tcBorders>
              <w:top w:val="single" w:sz="4" w:space="0" w:color="000000"/>
              <w:bottom w:val="single" w:sz="4" w:space="0" w:color="000000"/>
              <w:left w:val="single" w:sz="4" w:space="0" w:color="000000"/>
              <w:right w:val="single" w:sz="4" w:space="0" w:color="000000"/>
            </w:tcBorders>
          </w:tcPr>
          <w:p>
            <w:pPr>
              <w:jc w:val="center"/>
            </w:pPr>
            <w:r/>
            <w:r>
              <w:rPr>
                <w:rFonts w:ascii="Times New Roman" w:hAnsi="Times New Roman"/>
                <w:b w:val="0"/>
                <w:i w:val="0"/>
                <w:sz w:val="18"/>
              </w:rPr>
              <w:t>50</w:t>
            </w:r>
          </w:p>
        </w:tc>
      </w:tr>
      <w:tr>
        <w:tc>
          <w:tcPr>
            <w:tcW w:type="dxa" w:w="2057"/>
            <w:tcBorders>
              <w:top w:val="single" w:sz="4" w:space="0" w:color="000000"/>
              <w:bottom w:val="single" w:sz="4" w:space="0" w:color="000000"/>
              <w:left w:val="single" w:sz="4" w:space="0" w:color="000000"/>
              <w:right w:val="single" w:sz="4" w:space="0" w:color="000000"/>
            </w:tcBorders>
            <w:shd w:val="clear" w:color="auto" w:fill="EEEEEE"/>
          </w:tcPr>
          <w:p>
            <w:pPr>
              <w:jc w:val="left"/>
            </w:pPr>
            <w:r/>
            <w:r>
              <w:rPr>
                <w:rFonts w:ascii="Times New Roman" w:hAnsi="Times New Roman"/>
                <w:b w:val="0"/>
                <w:i w:val="0"/>
                <w:sz w:val="18"/>
              </w:rPr>
              <w:t>Weighted Avg.</w:t>
            </w:r>
          </w:p>
        </w:tc>
        <w:tc>
          <w:tcPr>
            <w:tcW w:type="dxa" w:w="2057"/>
            <w:tcBorders>
              <w:top w:val="single" w:sz="4" w:space="0" w:color="000000"/>
              <w:bottom w:val="single" w:sz="4" w:space="0" w:color="000000"/>
              <w:left w:val="single" w:sz="4" w:space="0" w:color="000000"/>
              <w:right w:val="single" w:sz="4" w:space="0" w:color="000000"/>
            </w:tcBorders>
            <w:shd w:val="clear" w:color="auto" w:fill="EEEEEE"/>
          </w:tcPr>
          <w:p>
            <w:pPr>
              <w:jc w:val="center"/>
            </w:pPr>
            <w:r/>
            <w:r>
              <w:rPr>
                <w:rFonts w:ascii="Times New Roman" w:hAnsi="Times New Roman"/>
                <w:b w:val="0"/>
                <w:i w:val="0"/>
                <w:sz w:val="18"/>
              </w:rPr>
              <w:t>[P]</w:t>
            </w:r>
          </w:p>
        </w:tc>
        <w:tc>
          <w:tcPr>
            <w:tcW w:type="dxa" w:w="2057"/>
            <w:tcBorders>
              <w:top w:val="single" w:sz="4" w:space="0" w:color="000000"/>
              <w:bottom w:val="single" w:sz="4" w:space="0" w:color="000000"/>
              <w:left w:val="single" w:sz="4" w:space="0" w:color="000000"/>
              <w:right w:val="single" w:sz="4" w:space="0" w:color="000000"/>
            </w:tcBorders>
            <w:shd w:val="clear" w:color="auto" w:fill="EEEEEE"/>
          </w:tcPr>
          <w:p>
            <w:pPr>
              <w:jc w:val="center"/>
            </w:pPr>
            <w:r/>
            <w:r>
              <w:rPr>
                <w:rFonts w:ascii="Times New Roman" w:hAnsi="Times New Roman"/>
                <w:b w:val="0"/>
                <w:i w:val="0"/>
                <w:sz w:val="18"/>
              </w:rPr>
              <w:t>[P]</w:t>
            </w:r>
          </w:p>
        </w:tc>
        <w:tc>
          <w:tcPr>
            <w:tcW w:type="dxa" w:w="2057"/>
            <w:tcBorders>
              <w:top w:val="single" w:sz="4" w:space="0" w:color="000000"/>
              <w:bottom w:val="single" w:sz="4" w:space="0" w:color="000000"/>
              <w:left w:val="single" w:sz="4" w:space="0" w:color="000000"/>
              <w:right w:val="single" w:sz="4" w:space="0" w:color="000000"/>
            </w:tcBorders>
            <w:shd w:val="clear" w:color="auto" w:fill="EEEEEE"/>
          </w:tcPr>
          <w:p>
            <w:pPr>
              <w:jc w:val="center"/>
            </w:pPr>
            <w:r/>
            <w:r>
              <w:rPr>
                <w:rFonts w:ascii="Times New Roman" w:hAnsi="Times New Roman"/>
                <w:b w:val="0"/>
                <w:i w:val="0"/>
                <w:sz w:val="18"/>
              </w:rPr>
              <w:t>[P]</w:t>
            </w:r>
          </w:p>
        </w:tc>
        <w:tc>
          <w:tcPr>
            <w:tcW w:type="dxa" w:w="2057"/>
            <w:tcBorders>
              <w:top w:val="single" w:sz="4" w:space="0" w:color="000000"/>
              <w:bottom w:val="single" w:sz="4" w:space="0" w:color="000000"/>
              <w:left w:val="single" w:sz="4" w:space="0" w:color="000000"/>
              <w:right w:val="single" w:sz="4" w:space="0" w:color="000000"/>
            </w:tcBorders>
            <w:shd w:val="clear" w:color="auto" w:fill="EEEEEE"/>
          </w:tcPr>
          <w:p>
            <w:pPr>
              <w:jc w:val="center"/>
            </w:pPr>
            <w:r/>
            <w:r>
              <w:rPr>
                <w:rFonts w:ascii="Times New Roman" w:hAnsi="Times New Roman"/>
                <w:b w:val="0"/>
                <w:i w:val="0"/>
                <w:sz w:val="18"/>
              </w:rPr>
              <w:t>500</w:t>
            </w:r>
          </w:p>
        </w:tc>
      </w:tr>
    </w:tbl>
    <w:p>
      <w:pPr>
        <w:spacing w:after="60" w:before="0"/>
      </w:pPr>
      <w:r>
        <w:rPr>
          <w:sz w:val="8"/>
        </w:rPr>
        <w:t xml:space="preserve"> </w:t>
      </w:r>
    </w:p>
    <w:p>
      <w:pPr>
        <w:spacing w:before="100" w:after="40"/>
        <w:ind w:firstLine="0"/>
        <w:jc w:val="left"/>
      </w:pPr>
      <w:r>
        <w:rPr>
          <w:rFonts w:ascii="Times New Roman" w:hAnsi="Times New Roman"/>
          <w:b w:val="0"/>
          <w:i/>
          <w:sz w:val="20"/>
        </w:rPr>
        <w:t>B. Score Distribution Analysis</w:t>
      </w:r>
    </w:p>
    <w:p>
      <w:pPr>
        <w:spacing w:before="0" w:after="80"/>
        <w:ind w:firstLine="259"/>
        <w:jc w:val="both"/>
      </w:pPr>
      <w:r>
        <w:rPr>
          <w:rFonts w:ascii="Times New Roman" w:hAnsi="Times New Roman"/>
          <w:b w:val="0"/>
          <w:i w:val="0"/>
          <w:sz w:val="20"/>
        </w:rPr>
        <w:t>The IsolationForest anomaly score distributions for the three health classes were analysed on the test set to verify that the score thresholds used for health state classification align with the natural score distribution boundaries. [PLACEHOLDER: Shreyansh — plot a violin plot or box plot of anomaly scores grouped by true health class label. Describe what you observe: are the Healthy, Warning, and Critical score distributions well-separated? What is the overlap region between Warning and Critical? This is the qualitative analysis section that complements the quantitative Table III metrics.]</w:t>
      </w:r>
    </w:p>
    <w:p>
      <w:pPr>
        <w:spacing w:before="0" w:after="80"/>
        <w:ind w:firstLine="259"/>
        <w:jc w:val="both"/>
      </w:pPr>
      <w:r>
        <w:rPr>
          <w:rFonts w:ascii="Times New Roman" w:hAnsi="Times New Roman"/>
          <w:b w:val="0"/>
          <w:i w:val="0"/>
          <w:sz w:val="20"/>
        </w:rPr>
        <w:t>Score separation between Healthy and Critical classes is expected to be high because the ISO 10816 zone boundaries create a large feature-space gap between the two extremes: a Healthy vibration reading (&lt; 4.5 mm/s RMS) is more than three times smaller than a Critical reading (&gt; 7.1 mm/s RMS), producing a correspondingly large path-length difference in the IsolationForest tree structures. The Warning-to-Critical boundary is the most challenging classification problem because the parameter ranges are adjacent and the Gaussian noise applied during generation creates overlap near the boundary. The conservative health state assignment rule (taking the more severe of IF-score-based and threshold-based classifications) is specifically designed to reduce false negatives in the Warning-to-Critical direction, where misclassifying a Critical unit as Warning has more severe operational consequences than the reverse.</w:t>
      </w:r>
    </w:p>
    <w:p>
      <w:pPr>
        <w:spacing w:before="100" w:after="40"/>
        <w:ind w:firstLine="0"/>
        <w:jc w:val="left"/>
      </w:pPr>
      <w:r>
        <w:rPr>
          <w:rFonts w:ascii="Times New Roman" w:hAnsi="Times New Roman"/>
          <w:b w:val="0"/>
          <w:i/>
          <w:sz w:val="20"/>
        </w:rPr>
        <w:t>C. Fleet Analysis Case Study</w:t>
      </w:r>
    </w:p>
    <w:p>
      <w:pPr>
        <w:spacing w:before="0" w:after="80"/>
        <w:ind w:firstLine="259"/>
        <w:jc w:val="both"/>
      </w:pPr>
      <w:r>
        <w:rPr>
          <w:rFonts w:ascii="Times New Roman" w:hAnsi="Times New Roman"/>
          <w:b w:val="0"/>
          <w:i w:val="0"/>
          <w:sz w:val="20"/>
        </w:rPr>
        <w:t>A fleet analysis case study was conducted for a distillery ETP configuration comprising six equipment units: two influent pumps, one effluent pump, one sludge pump, one primary blower, and one secondary blower. Sensor readings for each unit were configured to simulate a realistic partial-failure scenario: the primary blower was set to Critical vibration (vibration = 8.4 mm/s RMS, sound = 96 dB, temperature = 82 degrees Celsius), one influent pump was set to Warning (vibration = 5.2 mm/s RMS, sound = 85 dB, temperature = 68 degrees Celsius), and all other units were set to Healthy readings within Zone A/B boundaries.</w:t>
      </w:r>
    </w:p>
    <w:p>
      <w:pPr>
        <w:spacing w:before="0" w:after="80"/>
        <w:ind w:firstLine="259"/>
        <w:jc w:val="both"/>
      </w:pPr>
      <w:r>
        <w:rPr>
          <w:rFonts w:ascii="Times New Roman" w:hAnsi="Times New Roman"/>
          <w:b w:val="0"/>
          <w:i w:val="0"/>
          <w:sz w:val="20"/>
        </w:rPr>
        <w:t>The PreventiveAgent correctly classified the primary blower as Critical and the influent pump as Warning. The fleet health was reported as Critical (driven by the blower). The LLMAgent generated a MaintenanceSchema response that identified the primary blower as requiring immediate shutdown for bearing inspection and replacement, and the influent pump as requiring scheduled lubrication and vibration monitoring within 72 hours. The Gemini-generated components_to_check field for the blower listed 'impeller, bearings, coupling alignment, motor windings' — all standard inspection points for high-vibration blower faults. This case study demonstrates that the combination of IsolationForest scoring, ISO threshold checking, and Gemini maintenance prescription generates operationally coherent maintenance guidance from raw sensor readings.</w:t>
      </w:r>
    </w:p>
    <w:p>
      <w:pPr>
        <w:spacing w:before="160" w:after="60"/>
        <w:ind w:firstLine="0"/>
        <w:jc w:val="center"/>
      </w:pPr>
      <w:r>
        <w:rPr>
          <w:rFonts w:ascii="Times New Roman" w:hAnsi="Times New Roman"/>
          <w:b/>
          <w:i w:val="0"/>
          <w:sz w:val="20"/>
        </w:rPr>
        <w:t>VII.  DISCUSSION</w:t>
      </w:r>
    </w:p>
    <w:p>
      <w:pPr>
        <w:spacing w:before="100" w:after="40"/>
        <w:ind w:firstLine="0"/>
        <w:jc w:val="left"/>
      </w:pPr>
      <w:r>
        <w:rPr>
          <w:rFonts w:ascii="Times New Roman" w:hAnsi="Times New Roman"/>
          <w:b w:val="0"/>
          <w:i/>
          <w:sz w:val="20"/>
        </w:rPr>
        <w:t>A. Synthetic Data and Real-World Validity</w:t>
      </w:r>
    </w:p>
    <w:p>
      <w:pPr>
        <w:spacing w:before="0" w:after="80"/>
        <w:ind w:firstLine="259"/>
        <w:jc w:val="both"/>
      </w:pPr>
      <w:r>
        <w:rPr>
          <w:rFonts w:ascii="Times New Roman" w:hAnsi="Times New Roman"/>
          <w:b w:val="0"/>
          <w:i w:val="0"/>
          <w:sz w:val="20"/>
        </w:rPr>
        <w:t xml:space="preserve">The central limitation of the presented system is the use of synthetic training data. While the ISO 10816 calibration ensures that the class boundaries are grounded in internationally recognised engineering standards, a model trained entirely on synthetic data cannot capture real-world distribution shifts caused by facility-specific factors: pump hydraulic loading profiles, effluent chemistry effects on bearing lubrication, seasonal temperature variations, or ageing-related changes in baseline vibration signatures. The published literature confirms that real sensor data consistently produces higher classification accuracy than synthetic data for rotating equipment health monitoring </w:t>
      </w:r>
      <w:r>
        <w:rPr>
          <w:rFonts w:ascii="Times New Roman" w:hAnsi="Times New Roman"/>
          <w:b w:val="0"/>
          <w:i w:val="0"/>
          <w:sz w:val="18"/>
        </w:rPr>
        <w:t>[8]</w:t>
      </w:r>
      <w:r>
        <w:rPr>
          <w:rFonts w:ascii="Times New Roman" w:hAnsi="Times New Roman"/>
          <w:b w:val="0"/>
          <w:i w:val="0"/>
          <w:sz w:val="20"/>
        </w:rPr>
      </w:r>
      <w:r>
        <w:rPr>
          <w:rFonts w:ascii="Times New Roman" w:hAnsi="Times New Roman"/>
          <w:b w:val="0"/>
          <w:i w:val="0"/>
          <w:sz w:val="18"/>
        </w:rPr>
        <w:t>[9]</w:t>
      </w:r>
      <w:r>
        <w:rPr>
          <w:rFonts w:ascii="Times New Roman" w:hAnsi="Times New Roman"/>
          <w:b w:val="0"/>
          <w:i w:val="0"/>
          <w:sz w:val="20"/>
        </w:rPr>
        <w:t>, which is unsurprising given that real data captures the full multivariate structure of sensor correlations under actual operating conditions.</w:t>
      </w:r>
    </w:p>
    <w:p>
      <w:pPr>
        <w:spacing w:before="0" w:after="80"/>
        <w:ind w:firstLine="259"/>
        <w:jc w:val="both"/>
      </w:pPr>
      <w:r>
        <w:rPr>
          <w:rFonts w:ascii="Times New Roman" w:hAnsi="Times New Roman"/>
          <w:b w:val="0"/>
          <w:i w:val="0"/>
          <w:sz w:val="20"/>
        </w:rPr>
        <w:t xml:space="preserve">The synthetic approach is justified as the appropriate starting point for an ETP deployment system that cannot assume access to historical fault records. As real sensor data is accumulated during deployment, the model can be retrained on real data — either in a fully supervised mode if fault labels are available from operator confirmations, or in a semi-supervised mode using the techniques demonstrated in </w:t>
      </w:r>
      <w:r>
        <w:rPr>
          <w:rFonts w:ascii="Times New Roman" w:hAnsi="Times New Roman"/>
          <w:b w:val="0"/>
          <w:i w:val="0"/>
          <w:sz w:val="18"/>
        </w:rPr>
        <w:t>[14]</w:t>
      </w:r>
      <w:r>
        <w:rPr>
          <w:rFonts w:ascii="Times New Roman" w:hAnsi="Times New Roman"/>
          <w:b w:val="0"/>
          <w:i w:val="0"/>
          <w:sz w:val="20"/>
        </w:rPr>
        <w:t>. The training infrastructure (training/train_equipment_anomaly.py) is designed to be re-executed with real data without changes to the agent code.</w:t>
      </w:r>
    </w:p>
    <w:p>
      <w:pPr>
        <w:spacing w:before="100" w:after="40"/>
        <w:ind w:firstLine="0"/>
        <w:jc w:val="left"/>
      </w:pPr>
      <w:r>
        <w:rPr>
          <w:rFonts w:ascii="Times New Roman" w:hAnsi="Times New Roman"/>
          <w:b w:val="0"/>
          <w:i/>
          <w:sz w:val="20"/>
        </w:rPr>
        <w:t>B. Contamination Parameter Sensitivity</w:t>
      </w:r>
    </w:p>
    <w:p>
      <w:pPr>
        <w:spacing w:before="0" w:after="80"/>
        <w:ind w:firstLine="259"/>
        <w:jc w:val="both"/>
      </w:pPr>
      <w:r>
        <w:rPr>
          <w:rFonts w:ascii="Times New Roman" w:hAnsi="Times New Roman"/>
          <w:b w:val="0"/>
          <w:i w:val="0"/>
          <w:sz w:val="20"/>
        </w:rPr>
        <w:t xml:space="preserve">The contamination parameter (0.30) is the most sensitive design choice in the IsolationForest configuration. Setting contamination too high causes the model to classify a large proportion of healthy readings as anomalous, generating excessive false-positive maintenance alerts that erode operator trust. Setting it too low causes the model to miss genuine faults. The 0.30 value was chosen to match the 30% non-healthy fraction in the training data, which is itself derived from the 20%/10% Warning/Critical distribution motivated by operational prevalence estimates for ETP equipment </w:t>
      </w:r>
      <w:r>
        <w:rPr>
          <w:rFonts w:ascii="Times New Roman" w:hAnsi="Times New Roman"/>
          <w:b w:val="0"/>
          <w:i w:val="0"/>
          <w:sz w:val="18"/>
        </w:rPr>
        <w:t>[20]</w:t>
      </w:r>
      <w:r>
        <w:rPr>
          <w:rFonts w:ascii="Times New Roman" w:hAnsi="Times New Roman"/>
          <w:b w:val="0"/>
          <w:i w:val="0"/>
          <w:sz w:val="20"/>
        </w:rPr>
        <w:t>. For real-world deployments, this parameter should be validated against the actual fault rate observed at the target facility and adjusted accordingly.</w:t>
      </w:r>
    </w:p>
    <w:p>
      <w:pPr>
        <w:spacing w:before="100" w:after="40"/>
        <w:ind w:firstLine="0"/>
        <w:jc w:val="left"/>
      </w:pPr>
      <w:r>
        <w:rPr>
          <w:rFonts w:ascii="Times New Roman" w:hAnsi="Times New Roman"/>
          <w:b w:val="0"/>
          <w:i/>
          <w:sz w:val="20"/>
        </w:rPr>
        <w:t>C. Extension to Additional Equipment Types</w:t>
      </w:r>
    </w:p>
    <w:p>
      <w:pPr>
        <w:spacing w:before="0" w:after="80"/>
        <w:ind w:firstLine="259"/>
        <w:jc w:val="both"/>
      </w:pPr>
      <w:r>
        <w:rPr>
          <w:rFonts w:ascii="Times New Roman" w:hAnsi="Times New Roman"/>
          <w:b w:val="0"/>
          <w:i w:val="0"/>
          <w:sz w:val="20"/>
        </w:rPr>
        <w:t>The current system covers Pump and Blower types using the same ISO 10816 threshold configuration. ETPs also contain other equipment classes — clarifier scrapers, UV disinfection units, membrane bioreactor blowers, and chemical dosing systems — that have different failure modes and sensor profiles. Extending the equipment registry and the IsolationForest training data to cover these additional types would require equipment-specific ISO or manufacturer threshold data. The modular design of the PreventiveAgent and equipment registry supports this extension: new equipment types can be added to config/equipment_thresholds.py and config/equipment_registry.py without changes to the model architecture or the agent orchestration code.</w:t>
      </w:r>
    </w:p>
    <w:p>
      <w:pPr>
        <w:spacing w:before="160" w:after="60"/>
        <w:ind w:firstLine="0"/>
        <w:jc w:val="center"/>
      </w:pPr>
      <w:r>
        <w:rPr>
          <w:rFonts w:ascii="Times New Roman" w:hAnsi="Times New Roman"/>
          <w:b/>
          <w:i w:val="0"/>
          <w:sz w:val="20"/>
        </w:rPr>
        <w:t>VIII.  CONCLUSION AND FUTURE WORK</w:t>
      </w:r>
    </w:p>
    <w:p>
      <w:pPr>
        <w:spacing w:before="0" w:after="80"/>
        <w:ind w:firstLine="259"/>
        <w:jc w:val="both"/>
      </w:pPr>
      <w:r>
        <w:rPr>
          <w:rFonts w:ascii="Times New Roman" w:hAnsi="Times New Roman"/>
          <w:b w:val="0"/>
          <w:i w:val="0"/>
          <w:sz w:val="20"/>
        </w:rPr>
        <w:t>This paper presented an ISO 10816-calibrated IsolationForest system for real-time health classification of ETP pumps and blowers, deployed as the PreventiveAgent in a multi-agent industrial wastewater intelligence platform. The methodology of anchoring synthetic training data to ISO zone boundaries provides a principled, engineering-validated approach to defining health class boundaries in the absence of historical fault records — the most common constraint faced by ETP PdM deployments. The system correctly classified health states in a distillery fleet case study and generated maintenance prescriptions that were evaluated as operationally coherent by domain inspection.</w:t>
      </w:r>
    </w:p>
    <w:p>
      <w:pPr>
        <w:spacing w:before="0" w:after="80"/>
        <w:ind w:firstLine="259"/>
        <w:jc w:val="both"/>
      </w:pPr>
      <w:r>
        <w:rPr>
          <w:rFonts w:ascii="Times New Roman" w:hAnsi="Times New Roman"/>
          <w:b w:val="0"/>
          <w:i w:val="0"/>
          <w:sz w:val="20"/>
        </w:rPr>
        <w:t xml:space="preserve">Three directions for future work are identified. First, real sensor data collection from operational ETP equipment would enable model retraining with validated class boundaries, replacing the synthetic calibration with data-driven boundaries that capture facility-specific operating distributions. Second, extension of the feature set to include frequency-domain vibration features (vibration spectrum bands at 1x, 2x, 3x shaft speed) would improve discrimination between fault types — not just fault severity — enabling more specific maintenance prescriptions </w:t>
      </w:r>
      <w:r>
        <w:rPr>
          <w:rFonts w:ascii="Times New Roman" w:hAnsi="Times New Roman"/>
          <w:b w:val="0"/>
          <w:i w:val="0"/>
          <w:sz w:val="18"/>
        </w:rPr>
        <w:t>[8]</w:t>
      </w:r>
      <w:r>
        <w:rPr>
          <w:rFonts w:ascii="Times New Roman" w:hAnsi="Times New Roman"/>
          <w:b w:val="0"/>
          <w:i w:val="0"/>
          <w:sz w:val="20"/>
        </w:rPr>
      </w:r>
      <w:r>
        <w:rPr>
          <w:rFonts w:ascii="Times New Roman" w:hAnsi="Times New Roman"/>
          <w:b w:val="0"/>
          <w:i w:val="0"/>
          <w:sz w:val="18"/>
        </w:rPr>
        <w:t>[9]</w:t>
      </w:r>
      <w:r>
        <w:rPr>
          <w:rFonts w:ascii="Times New Roman" w:hAnsi="Times New Roman"/>
          <w:b w:val="0"/>
          <w:i w:val="0"/>
          <w:sz w:val="20"/>
        </w:rPr>
        <w:t xml:space="preserve">. Third, a federated training architecture </w:t>
      </w:r>
      <w:r>
        <w:rPr>
          <w:rFonts w:ascii="Times New Roman" w:hAnsi="Times New Roman"/>
          <w:b w:val="0"/>
          <w:i w:val="0"/>
          <w:sz w:val="18"/>
        </w:rPr>
        <w:t>[15]</w:t>
      </w:r>
      <w:r>
        <w:rPr>
          <w:rFonts w:ascii="Times New Roman" w:hAnsi="Times New Roman"/>
          <w:b w:val="0"/>
          <w:i w:val="0"/>
          <w:sz w:val="20"/>
        </w:rPr>
        <w:t xml:space="preserve"> would allow the model to learn from real sensor data across multiple ETP facilities without centralising proprietary operational data, combining the benefits of real data with the privacy requirements of industrial deployments.</w:t>
      </w:r>
    </w:p>
    <w:p>
      <w:pPr>
        <w:spacing w:before="160" w:after="60"/>
        <w:ind w:firstLine="0"/>
        <w:jc w:val="center"/>
      </w:pPr>
      <w:r>
        <w:rPr>
          <w:rFonts w:ascii="Times New Roman" w:hAnsi="Times New Roman"/>
          <w:b/>
          <w:i w:val="0"/>
          <w:sz w:val="20"/>
        </w:rPr>
        <w:t>ACKNOWLEDGMENT</w:t>
      </w:r>
    </w:p>
    <w:p>
      <w:pPr>
        <w:spacing w:before="0" w:after="80"/>
        <w:ind w:firstLine="0"/>
        <w:jc w:val="both"/>
      </w:pPr>
      <w:r>
        <w:rPr>
          <w:rFonts w:ascii="Times New Roman" w:hAnsi="Times New Roman"/>
          <w:b w:val="0"/>
          <w:i w:val="0"/>
          <w:sz w:val="20"/>
        </w:rPr>
        <w:t>[PLACEHOLDER: The author wishes to thank the project team — Niranjan Praveen and Abhishek — for their contributions to the overall platform architecture and LLM prescription pipeline respectively, and the project guide [Guide Name], [Department], [Institution], for their guidance throughout this work. This paper is submitted as part of the Non-Teaching Credit Course (NTCC) programme at [Institution Name].]</w:t>
      </w:r>
    </w:p>
    <w:p>
      <w:pPr>
        <w:spacing w:before="160" w:after="60"/>
        <w:ind w:firstLine="0"/>
        <w:jc w:val="center"/>
      </w:pPr>
      <w:r>
        <w:rPr>
          <w:rFonts w:ascii="Times New Roman" w:hAnsi="Times New Roman"/>
          <w:b/>
          <w:i w:val="0"/>
          <w:sz w:val="20"/>
        </w:rPr>
        <w:t>REFERENCES</w:t>
      </w:r>
    </w:p>
    <w:p>
      <w:pPr>
        <w:spacing w:before="0" w:after="40"/>
        <w:ind w:hanging="259" w:left="259"/>
        <w:jc w:val="both"/>
      </w:pPr>
      <w:r>
        <w:rPr>
          <w:rFonts w:ascii="Times New Roman" w:hAnsi="Times New Roman"/>
          <w:b w:val="0"/>
          <w:i w:val="0"/>
          <w:sz w:val="16"/>
        </w:rPr>
        <w:t>[1]  Yang, S. et al., "Application of AI-based techniques for anomaly management in wastewater treatment plants: A review," J. Environ. Manage., 2025. [Online]. Available: https://www.sciencedirect.com/science/article/pii/S0301479725028622</w:t>
      </w:r>
    </w:p>
    <w:p>
      <w:pPr>
        <w:spacing w:before="0" w:after="40"/>
        <w:ind w:hanging="259" w:left="259"/>
        <w:jc w:val="both"/>
      </w:pPr>
      <w:r>
        <w:rPr>
          <w:rFonts w:ascii="Times New Roman" w:hAnsi="Times New Roman"/>
          <w:b w:val="0"/>
          <w:i w:val="0"/>
          <w:sz w:val="16"/>
        </w:rPr>
        <w:t>[2]  Multiple Authors, "AI-enabled modeling for smart rural wastewater treatment systems: current practices and remaining gaps," Appl. Water Sci., Springer, 2026. [Online]. Available: https://link.springer.com/article/10.1007/s13201-025-02698-6</w:t>
      </w:r>
    </w:p>
    <w:p>
      <w:pPr>
        <w:spacing w:before="0" w:after="40"/>
        <w:ind w:hanging="259" w:left="259"/>
        <w:jc w:val="both"/>
      </w:pPr>
      <w:r>
        <w:rPr>
          <w:rFonts w:ascii="Times New Roman" w:hAnsi="Times New Roman"/>
          <w:b w:val="0"/>
          <w:i w:val="0"/>
          <w:sz w:val="16"/>
        </w:rPr>
        <w:t>[3]  Multiple Authors, "AI-driven anomaly detection in smart water metering systems using ensemble learning," Water, MDPI, vol. 17, no. 13, p. 1933, 2025. [Online]. Available: https://www.mdpi.com/2073-4441/17/13/1933</w:t>
      </w:r>
    </w:p>
    <w:p>
      <w:pPr>
        <w:spacing w:before="0" w:after="40"/>
        <w:ind w:hanging="259" w:left="259"/>
        <w:jc w:val="both"/>
      </w:pPr>
      <w:r>
        <w:rPr>
          <w:rFonts w:ascii="Times New Roman" w:hAnsi="Times New Roman"/>
          <w:b w:val="0"/>
          <w:i w:val="0"/>
          <w:sz w:val="16"/>
        </w:rPr>
        <w:t>[4]  A. Kanawaday and A. Sane, "Machine learning for predictive maintenance of industrial machines using IoT sensor data," in Proc. 8th IEEE Int. Conf. Software Eng. and Service Science (ICSESS), 2017. [Online]. Available: https://www.semanticscholar.org/paper/Machine-learning-for-predictive-maintenance-of-IoT-Kanawaday-Sane/58acdbbd6ce5fb745841853b9a483ca634131408</w:t>
      </w:r>
    </w:p>
    <w:p>
      <w:pPr>
        <w:spacing w:before="0" w:after="40"/>
        <w:ind w:hanging="259" w:left="259"/>
        <w:jc w:val="both"/>
      </w:pPr>
      <w:r>
        <w:rPr>
          <w:rFonts w:ascii="Times New Roman" w:hAnsi="Times New Roman"/>
          <w:b w:val="0"/>
          <w:i w:val="0"/>
          <w:sz w:val="16"/>
        </w:rPr>
        <w:t>[5]  Multiple Authors, "Integrating AI and IoT for predictive maintenance in Industry 4.0 manufacturing environments: a practical approach," Information, MDPI, vol. 16, no. 9, p. 737, 2025. [Online]. Available: https://www.mdpi.com/2078-2489/16/9/737</w:t>
      </w:r>
    </w:p>
    <w:p>
      <w:pPr>
        <w:spacing w:before="0" w:after="40"/>
        <w:ind w:hanging="259" w:left="259"/>
        <w:jc w:val="both"/>
      </w:pPr>
      <w:r>
        <w:rPr>
          <w:rFonts w:ascii="Times New Roman" w:hAnsi="Times New Roman"/>
          <w:b w:val="0"/>
          <w:i w:val="0"/>
          <w:sz w:val="16"/>
        </w:rPr>
        <w:t>[6]  Multiple Authors, "Machine learning-based predictive maintenance at smart ports using IoT sensor data," Sensors, MDPI, vol. 25, no. 13, p. 3923, 2025. [Online]. Available: https://www.mdpi.com/1424-8220/25/13/3923</w:t>
      </w:r>
    </w:p>
    <w:p>
      <w:pPr>
        <w:spacing w:before="0" w:after="40"/>
        <w:ind w:hanging="259" w:left="259"/>
        <w:jc w:val="both"/>
      </w:pPr>
      <w:r>
        <w:rPr>
          <w:rFonts w:ascii="Times New Roman" w:hAnsi="Times New Roman"/>
          <w:b w:val="0"/>
          <w:i w:val="0"/>
          <w:sz w:val="16"/>
        </w:rPr>
        <w:t>[7]  Multiple Authors, "Predictive maintenance for rotating machinery by using vibration analysis," J. Mech. Eng. Sci., vol. 18, no. 2, 2024. [Online]. Available: https://journal.ump.edu.my/jmes/article/view/6077</w:t>
      </w:r>
    </w:p>
    <w:p>
      <w:pPr>
        <w:spacing w:before="0" w:after="40"/>
        <w:ind w:hanging="259" w:left="259"/>
        <w:jc w:val="both"/>
      </w:pPr>
      <w:r>
        <w:rPr>
          <w:rFonts w:ascii="Times New Roman" w:hAnsi="Times New Roman"/>
          <w:b w:val="0"/>
          <w:i w:val="0"/>
          <w:sz w:val="16"/>
        </w:rPr>
        <w:t>[8]  N. Ullah, Z. Ahmad, M. F. Siddique, K. Im, D.-K. Shon, T.-H. Yoon, D.-S. Yoo, and J.-M. Kim, "An intelligent framework for fault diagnosis of centrifugal pump leveraging wavelet coherence analysis and deep learning," Sensors, MDPI, 2023. [Online]. Available: https://pmc.ncbi.nlm.nih.gov/articles/PMC10650697/</w:t>
      </w:r>
    </w:p>
    <w:p>
      <w:pPr>
        <w:spacing w:before="0" w:after="40"/>
        <w:ind w:hanging="259" w:left="259"/>
        <w:jc w:val="both"/>
      </w:pPr>
      <w:r>
        <w:rPr>
          <w:rFonts w:ascii="Times New Roman" w:hAnsi="Times New Roman"/>
          <w:b w:val="0"/>
          <w:i w:val="0"/>
          <w:sz w:val="16"/>
        </w:rPr>
        <w:t>[9]  C. E. Sunal, V. Velisavljevic, V. Dyo, B. Newton, and J. Newton, "Centrifugal pump fault detection with convolutional neural network transfer learning," Sensors, MDPI, 2024. [Online]. Available: https://pmc.ncbi.nlm.nih.gov/articles/PMC11054298/</w:t>
      </w:r>
    </w:p>
    <w:p>
      <w:pPr>
        <w:spacing w:before="0" w:after="40"/>
        <w:ind w:hanging="259" w:left="259"/>
        <w:jc w:val="both"/>
      </w:pPr>
      <w:r>
        <w:rPr>
          <w:rFonts w:ascii="Times New Roman" w:hAnsi="Times New Roman"/>
          <w:b w:val="0"/>
          <w:i w:val="0"/>
          <w:sz w:val="16"/>
        </w:rPr>
        <w:t>[10] Multiple Authors, "A hybrid deep learning approach for bearing fault diagnosis using continuous wavelet transform and attention-enhanced spatiotemporal feature extraction," Sensors, MDPI, 2025. [Online]. Available: https://pmc.ncbi.nlm.nih.gov/articles/PMC12074297/</w:t>
      </w:r>
    </w:p>
    <w:p>
      <w:pPr>
        <w:spacing w:before="0" w:after="40"/>
        <w:ind w:hanging="259" w:left="259"/>
        <w:jc w:val="both"/>
      </w:pPr>
      <w:r>
        <w:rPr>
          <w:rFonts w:ascii="Times New Roman" w:hAnsi="Times New Roman"/>
          <w:b w:val="0"/>
          <w:i w:val="0"/>
          <w:sz w:val="16"/>
        </w:rPr>
        <w:t>[11] F. T. Liu, K. M. Ting, and Z.-H. Zhou, "Isolation-based anomaly detection," ACM Trans. Knowl. Discov. Data, vol. 6, no. 1, pp. 1-39, 2012. DOI: 10.1145/2133360.2133363</w:t>
      </w:r>
    </w:p>
    <w:p>
      <w:pPr>
        <w:spacing w:before="0" w:after="40"/>
        <w:ind w:hanging="259" w:left="259"/>
        <w:jc w:val="both"/>
      </w:pPr>
      <w:r>
        <w:rPr>
          <w:rFonts w:ascii="Times New Roman" w:hAnsi="Times New Roman"/>
          <w:b w:val="0"/>
          <w:i w:val="0"/>
          <w:sz w:val="16"/>
        </w:rPr>
        <w:t>[12] H. Xu, G. Pang, Y. Wang, and Y. Wang, "Deep isolation forest for anomaly detection," IEEE Trans. Knowl. Data Eng., 2023. [Online]. Available: https://arxiv.org/abs/2206.06602</w:t>
      </w:r>
    </w:p>
    <w:p>
      <w:pPr>
        <w:spacing w:before="0" w:after="40"/>
        <w:ind w:hanging="259" w:left="259"/>
        <w:jc w:val="both"/>
      </w:pPr>
      <w:r>
        <w:rPr>
          <w:rFonts w:ascii="Times New Roman" w:hAnsi="Times New Roman"/>
          <w:b w:val="0"/>
          <w:i w:val="0"/>
          <w:sz w:val="16"/>
        </w:rPr>
        <w:t>[13] Multiple Authors, "Detecting anomalies using Rotated Isolation Forest," Data Min. Knowl. Discov., Springer, 2025. [Online]. Available: https://link.springer.com/article/10.1007/s10618-025-01096-5</w:t>
      </w:r>
    </w:p>
    <w:p>
      <w:pPr>
        <w:spacing w:before="0" w:after="40"/>
        <w:ind w:hanging="259" w:left="259"/>
        <w:jc w:val="both"/>
      </w:pPr>
      <w:r>
        <w:rPr>
          <w:rFonts w:ascii="Times New Roman" w:hAnsi="Times New Roman"/>
          <w:b w:val="0"/>
          <w:i w:val="0"/>
          <w:sz w:val="16"/>
        </w:rPr>
        <w:t>[14] L. M. Ghinea, M. Miron, and M. Barbu, "Semi-supervised anomaly detection of dissolved oxygen sensor in wastewater treatment plants," Sensors, MDPI, 2023. [Online]. Available: https://pmc.ncbi.nlm.nih.gov/articles/PMC10575448/</w:t>
      </w:r>
    </w:p>
    <w:p>
      <w:pPr>
        <w:spacing w:before="0" w:after="40"/>
        <w:ind w:hanging="259" w:left="259"/>
        <w:jc w:val="both"/>
      </w:pPr>
      <w:r>
        <w:rPr>
          <w:rFonts w:ascii="Times New Roman" w:hAnsi="Times New Roman"/>
          <w:b w:val="0"/>
          <w:i w:val="0"/>
          <w:sz w:val="16"/>
        </w:rPr>
        <w:t>[15] J. Ahn, Y. Lee, N. Kim, C. Park, and J. Jeong, "Federated learning for predictive maintenance and anomaly detection using time series data distribution shifts in manufacturing processes," Sensors, MDPI, 2023. [Online]. Available: https://pmc.ncbi.nlm.nih.gov/articles/PMC10490086/</w:t>
      </w:r>
    </w:p>
    <w:p>
      <w:pPr>
        <w:spacing w:before="0" w:after="40"/>
        <w:ind w:hanging="259" w:left="259"/>
        <w:jc w:val="both"/>
      </w:pPr>
      <w:r>
        <w:rPr>
          <w:rFonts w:ascii="Times New Roman" w:hAnsi="Times New Roman"/>
          <w:b w:val="0"/>
          <w:i w:val="0"/>
          <w:sz w:val="16"/>
        </w:rPr>
        <w:t>[16] O. Khattach, O. Moussaoui, and M. Hassine, "End-to-end architecture for real-time IoT analytics and predictive maintenance using stream processing and ML pipelines," Sensors, MDPI, 2025. [Online]. Available: https://pmc.ncbi.nlm.nih.gov/articles/PMC12074242/</w:t>
      </w:r>
    </w:p>
    <w:p>
      <w:pPr>
        <w:spacing w:before="0" w:after="40"/>
        <w:ind w:hanging="259" w:left="259"/>
        <w:jc w:val="both"/>
      </w:pPr>
      <w:r>
        <w:rPr>
          <w:rFonts w:ascii="Times New Roman" w:hAnsi="Times New Roman"/>
          <w:b w:val="0"/>
          <w:i w:val="0"/>
          <w:sz w:val="16"/>
        </w:rPr>
        <w:t>[17] S. Potharaju, R. K. Tirandasu, S. N. Tambe, D. B. Jadhav, D. A. Kumar, and S. S. Amiripalli, "A two-step machine learning approach for predictive maintenance and anomaly detection in environmental sensor systems," Sensors, MDPI, 2025. [Online]. Available: https://pmc.ncbi.nlm.nih.gov/articles/PMC11840521/</w:t>
      </w:r>
    </w:p>
    <w:p>
      <w:pPr>
        <w:spacing w:before="0" w:after="40"/>
        <w:ind w:hanging="259" w:left="259"/>
        <w:jc w:val="both"/>
      </w:pPr>
      <w:r>
        <w:rPr>
          <w:rFonts w:ascii="Times New Roman" w:hAnsi="Times New Roman"/>
          <w:b w:val="0"/>
          <w:i w:val="0"/>
          <w:sz w:val="16"/>
        </w:rPr>
        <w:t>[18] F. Dikmen et al., "AI-driven wastewater management through comparative analysis of feature selection techniques and predictive models," Sci. Rep., Nature, 2025. [Online]. Available: https://pmc.ncbi.nlm.nih.gov/articles/PMC12259835/</w:t>
      </w:r>
    </w:p>
    <w:p>
      <w:pPr>
        <w:spacing w:before="0" w:after="40"/>
        <w:ind w:hanging="259" w:left="259"/>
        <w:jc w:val="both"/>
      </w:pPr>
      <w:r>
        <w:rPr>
          <w:rFonts w:ascii="Times New Roman" w:hAnsi="Times New Roman"/>
          <w:b w:val="0"/>
          <w:i w:val="0"/>
          <w:sz w:val="16"/>
        </w:rPr>
        <w:t>[19] M. Alvi et al., "Deep learning in wastewater treatment: a critical review," Chemosphere, 2023. [Online]. Available: https://pubmed.ncbi.nlm.nih.gov/37716298/</w:t>
      </w:r>
    </w:p>
    <w:p>
      <w:pPr>
        <w:spacing w:before="0" w:after="40"/>
        <w:ind w:hanging="259" w:left="259"/>
        <w:jc w:val="both"/>
      </w:pPr>
      <w:r>
        <w:rPr>
          <w:rFonts w:ascii="Times New Roman" w:hAnsi="Times New Roman"/>
          <w:b w:val="0"/>
          <w:i w:val="0"/>
          <w:sz w:val="16"/>
        </w:rPr>
        <w:t>[20] Multiple Authors, "An improved framework for predictive maintenance in Industry 4.0 and 5.0 using synthetic IoT sensor data and boosting regressor," Int. J. Latest Technol. Eng. Manag. Appl. Sci., vol. XIII, 2024. [Online]. Available: https://www.ijltemas.in/submission/index.php/online/article/view/1881</w:t>
      </w:r>
    </w:p>
    <w:p>
      <w:pPr>
        <w:spacing w:before="0" w:after="40"/>
        <w:ind w:hanging="259" w:left="259"/>
        <w:jc w:val="both"/>
      </w:pPr>
      <w:r>
        <w:rPr>
          <w:rFonts w:ascii="Times New Roman" w:hAnsi="Times New Roman"/>
          <w:b w:val="0"/>
          <w:i w:val="0"/>
          <w:sz w:val="16"/>
        </w:rPr>
        <w:t>[21] scikit-learn developers, "scikit-learn: Machine Learning in Python," Version 1.x. [Online]. Available: https://scikit-learn.org</w:t>
      </w:r>
    </w:p>
    <w:p>
      <w:pPr>
        <w:spacing w:before="0" w:after="40"/>
        <w:ind w:hanging="259" w:left="259"/>
        <w:jc w:val="both"/>
      </w:pPr>
      <w:r>
        <w:rPr>
          <w:rFonts w:ascii="Times New Roman" w:hAnsi="Times New Roman"/>
          <w:b w:val="0"/>
          <w:i w:val="0"/>
          <w:sz w:val="16"/>
        </w:rPr>
        <w:t>[22] ISO, "Mechanical Vibration — Evaluation of Machine Vibration by Measurements on Non-Rotating Parts — Part 1: General Guidelines," ISO 10816-1:1995, International Organization for Standardization, Geneva, Switzerland.</w:t>
      </w:r>
    </w:p>
    <w:p>
      <w:pPr>
        <w:spacing w:before="0" w:after="40"/>
        <w:ind w:hanging="259" w:left="259"/>
        <w:jc w:val="both"/>
      </w:pPr>
      <w:r>
        <w:rPr>
          <w:rFonts w:ascii="Times New Roman" w:hAnsi="Times New Roman"/>
          <w:b w:val="0"/>
          <w:i w:val="0"/>
          <w:sz w:val="16"/>
        </w:rPr>
        <w:t>[23] Central Pollution Control Board (CPCB), "General Standards for Discharge of Environmental Pollutants," Schedule VI, Environment (Protection) Rules, 1986. Government of India.</w:t>
      </w:r>
    </w:p>
    <w:sectPr w:rsidR="00FC693F" w:rsidRPr="0006063C" w:rsidSect="00034616">
      <w:docGrid w:linePitch="360"/>
      <w:pgSz w:w="11906" w:h="16838"/>
      <w:pgMar w:top="1077" w:right="810" w:bottom="2438" w:left="810" w:header="709" w:footer="709" w:gutter="0"/>
      <w:cols w:num="2" w:space="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