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firstLine="0"/>
        <w:jc w:val="center"/>
      </w:pPr>
      <w:r>
        <w:rPr>
          <w:rFonts w:ascii="Times New Roman" w:hAnsi="Times New Roman"/>
          <w:b w:val="0"/>
          <w:i w:val="0"/>
          <w:sz w:val="36"/>
        </w:rPr>
        <w:t>Schema-Constrained LLM Prompting for Prescriptive Industrial Wastewater Treatment: A Gemini-Based Approach to Structured Chemical Recommendation</w:t>
      </w:r>
    </w:p>
    <w:p>
      <w:pPr>
        <w:spacing w:before="0" w:after="40"/>
        <w:ind w:firstLine="0"/>
        <w:jc w:val="center"/>
      </w:pPr>
      <w:r>
        <w:rPr>
          <w:rFonts w:ascii="Times New Roman" w:hAnsi="Times New Roman"/>
          <w:b w:val="0"/>
          <w:i w:val="0"/>
          <w:sz w:val="22"/>
        </w:rPr>
        <w:t>[PLACEHOLDER: Abhishek — Full Name]</w:t>
      </w:r>
    </w:p>
    <w:p>
      <w:pPr>
        <w:spacing w:before="0" w:after="40"/>
        <w:ind w:firstLine="0"/>
        <w:jc w:val="center"/>
      </w:pPr>
      <w:r>
        <w:rPr>
          <w:rFonts w:ascii="Times New Roman" w:hAnsi="Times New Roman"/>
          <w:b w:val="0"/>
          <w:i/>
          <w:sz w:val="20"/>
        </w:rPr>
        <w:t>[PLACEHOLDER: Department Name]</w:t>
        <w:br/>
        <w:t>[PLACEHOLDER: Institution Name, City, Country]</w:t>
        <w:br/>
        <w:t>[PLACEHOLDER: email@institution.edu]</w:t>
      </w:r>
    </w:p>
    <w:p>
      <w:pPr>
        <w:spacing w:after="120" w:before="0"/>
      </w:pPr>
      <w:r>
        <w:rPr>
          <w:sz w:val="8"/>
        </w:rPr>
        <w:t xml:space="preserve"> </w:t>
      </w:r>
    </w:p>
    <w:p>
      <w:pPr>
        <w:spacing w:before="0" w:after="40"/>
        <w:ind w:firstLine="0"/>
        <w:jc w:val="left"/>
      </w:pPr>
      <w:r>
        <w:rPr>
          <w:rFonts w:ascii="Times New Roman" w:hAnsi="Times New Roman"/>
          <w:b/>
          <w:i/>
          <w:sz w:val="18"/>
        </w:rPr>
        <w:t>Abstract</w:t>
      </w:r>
      <w:r>
        <w:rPr>
          <w:rFonts w:ascii="Times New Roman" w:hAnsi="Times New Roman"/>
          <w:b w:val="0"/>
          <w:i/>
          <w:sz w:val="18"/>
        </w:rPr>
        <w:t xml:space="preserve"> — Wastewater treatment plants generate continuous streams of sensor data across multiple effluent parameters, yet AI systems deployed to analyse this data predominantly terminate their output at anomaly detection or predictive classification. When a parameter violation is identified, operators must independently determine the appropriate chemical treatment — a task requiring specialised knowledge across dozens of industrial effluent types. This paper presents a schema-constrained LLM pipeline that converts detected CPCB parameter violations into structured, per-parameter chemical treatment prescriptions encompassing reagent identity, dosage, unit operation, expected outcome, and cost band. The system employs Google Gemini with a Pydantic BaseModel schema and explicit prompt-embedded JSON structure. In developing this pipeline, an undocumented Gemini API failure mode was identified: nested Pydantic schemas containing Optional[List[NestedModel]] fields generate JSON Schema \$defs references that Gemini's validator silently rejects at generation time. The root cause is analysed and a mime-type-only workaround is presented. The system generates structured prescriptions across eight regulated parameters for seventeen industrial sectors.</w:t>
      </w:r>
    </w:p>
    <w:p>
      <w:pPr>
        <w:spacing w:before="80" w:after="120"/>
        <w:ind w:firstLine="0"/>
        <w:jc w:val="left"/>
      </w:pPr>
      <w:r>
        <w:rPr>
          <w:rFonts w:ascii="Times New Roman" w:hAnsi="Times New Roman"/>
          <w:b/>
          <w:i/>
          <w:sz w:val="18"/>
        </w:rPr>
        <w:t xml:space="preserve">Keywords: </w:t>
      </w:r>
      <w:r>
        <w:rPr>
          <w:rFonts w:ascii="Times New Roman" w:hAnsi="Times New Roman"/>
          <w:b w:val="0"/>
          <w:i/>
          <w:sz w:val="18"/>
        </w:rPr>
        <w:t>prescriptive analytics, large language models, structured generation, Pydantic schema, wastewater treatment, Gemini API, JSON Schema</w:t>
      </w:r>
    </w:p>
    <w:p>
      <w:pPr>
        <w:spacing w:before="0" w:after="0"/>
        <w:sectPr>
          <w:type w:val="continuous"/>
          <w:pgSz w:w="11906" w:h="16838"/>
          <w:pgMar w:top="1077" w:right="810" w:bottom="2438" w:left="810" w:header="709" w:footer="709" w:gutter="0"/>
          <w:cols w:num="1"/>
        </w:sectPr>
      </w:pPr>
    </w:p>
    <w:p>
      <w:pPr>
        <w:spacing w:before="160" w:after="60"/>
        <w:ind w:firstLine="0"/>
        <w:jc w:val="center"/>
      </w:pPr>
      <w:r>
        <w:rPr>
          <w:rFonts w:ascii="Times New Roman" w:hAnsi="Times New Roman"/>
          <w:b/>
          <w:i w:val="0"/>
          <w:sz w:val="20"/>
        </w:rPr>
        <w:t>I.  INTRODUCTION</w:t>
      </w:r>
    </w:p>
    <w:p>
      <w:pPr>
        <w:spacing w:before="0" w:after="80"/>
        <w:ind w:firstLine="259"/>
        <w:jc w:val="both"/>
      </w:pPr>
      <w:r>
        <w:rPr>
          <w:rFonts w:ascii="Times New Roman" w:hAnsi="Times New Roman"/>
          <w:b w:val="0"/>
          <w:i w:val="0"/>
          <w:sz w:val="20"/>
        </w:rPr>
        <w:t xml:space="preserve">Regulatory compliance in industrial wastewater management depends on the ability to detect parameter violations and act upon them in a timely manner. Frameworks such as the Central Pollution Control Board (CPCB) General Standards and EPA discharge guidelines impose numerical limits on eight key effluent parameters: biological oxygen demand (BOD), chemical oxygen demand (COD), total suspended solids (TSS), total dissolved solids (TDS), pH, oil and grease, ammonia nitrogen, and temperature </w:t>
      </w:r>
      <w:r>
        <w:rPr>
          <w:rFonts w:ascii="Times New Roman" w:hAnsi="Times New Roman"/>
          <w:b w:val="0"/>
          <w:i w:val="0"/>
          <w:sz w:val="18"/>
        </w:rPr>
        <w:t>[1]</w:t>
      </w:r>
      <w:r>
        <w:rPr>
          <w:rFonts w:ascii="Times New Roman" w:hAnsi="Times New Roman"/>
          <w:b w:val="0"/>
          <w:i w:val="0"/>
          <w:sz w:val="20"/>
        </w:rPr>
        <w:t>. When any parameter exceeds its prescribed threshold, the treatment plant operator must identify and implement the appropriate corrective process — coagulation-flocculation for suspended solids, lime or acid dosing for pH correction, activated carbon adsorption for high organic loads, or breakpoint chlorination for ammonia reduction.</w:t>
      </w:r>
    </w:p>
    <w:p>
      <w:pPr>
        <w:spacing w:before="0" w:after="80"/>
        <w:ind w:firstLine="259"/>
        <w:jc w:val="both"/>
      </w:pPr>
      <w:r>
        <w:rPr>
          <w:rFonts w:ascii="Times New Roman" w:hAnsi="Times New Roman"/>
          <w:b w:val="0"/>
          <w:i w:val="0"/>
          <w:sz w:val="20"/>
        </w:rPr>
        <w:t xml:space="preserve">The AI systems currently deployed for wastewater monitoring have made considerable progress in anomaly detection and parameter prediction </w:t>
      </w:r>
      <w:r>
        <w:rPr>
          <w:rFonts w:ascii="Times New Roman" w:hAnsi="Times New Roman"/>
          <w:b w:val="0"/>
          <w:i w:val="0"/>
          <w:sz w:val="18"/>
        </w:rPr>
        <w:t>[2]</w:t>
      </w:r>
      <w:r>
        <w:rPr>
          <w:rFonts w:ascii="Times New Roman" w:hAnsi="Times New Roman"/>
          <w:b w:val="0"/>
          <w:i w:val="0"/>
          <w:sz w:val="20"/>
        </w:rPr>
        <w:t xml:space="preserve">. However, a consistent finding in the literature is that these systems detect but do not advise: anomaly classifiers flag violations without generating guidance on the remediation action that should follow </w:t>
      </w:r>
      <w:r>
        <w:rPr>
          <w:rFonts w:ascii="Times New Roman" w:hAnsi="Times New Roman"/>
          <w:b w:val="0"/>
          <w:i w:val="0"/>
          <w:sz w:val="18"/>
        </w:rPr>
        <w:t>[1]</w:t>
      </w:r>
      <w:r>
        <w:rPr>
          <w:rFonts w:ascii="Times New Roman" w:hAnsi="Times New Roman"/>
          <w:b w:val="0"/>
          <w:i w:val="0"/>
          <w:sz w:val="20"/>
        </w:rPr>
        <w:t xml:space="preserve">. This detection-versus-remediation gap places a significant cognitive burden on plant operators, who must interpret model outputs and independently translate them into treatment decisions. A recent comprehensive review of AI techniques for wastewater management identifies automated treatment recommendation as the most significant open challenge in the field </w:t>
      </w:r>
      <w:r>
        <w:rPr>
          <w:rFonts w:ascii="Times New Roman" w:hAnsi="Times New Roman"/>
          <w:b w:val="0"/>
          <w:i w:val="0"/>
          <w:sz w:val="18"/>
        </w:rPr>
        <w:t>[3]</w:t>
      </w:r>
      <w:r>
        <w:rPr>
          <w:rFonts w:ascii="Times New Roman" w:hAnsi="Times New Roman"/>
          <w:b w:val="0"/>
          <w:i w:val="0"/>
          <w:sz w:val="20"/>
        </w:rPr>
        <w:t>.</w:t>
      </w:r>
    </w:p>
    <w:p>
      <w:pPr>
        <w:spacing w:before="0" w:after="80"/>
        <w:ind w:firstLine="259"/>
        <w:jc w:val="both"/>
      </w:pPr>
      <w:r>
        <w:rPr>
          <w:rFonts w:ascii="Times New Roman" w:hAnsi="Times New Roman"/>
          <w:b w:val="0"/>
          <w:i w:val="0"/>
          <w:sz w:val="20"/>
        </w:rPr>
        <w:t>At industrial scale, addressing this gap with rule-based lookup tables is not feasible. A platform serving seventeen industry types — from pharmaceutical active pharmaceutical ingredient (API) synthesis to tannery effluent and dairy discharge — encompasses sixty or more sub-categories. Each sub-category may violate any of eight regulated parameters, each with distinct treatment chemistry that varies by industry context. The combinatorial space of industry × parameter × severity level exceeds thousands of unique remediation scenarios, each requiring a different reagent, dosage, and unit operation. Maintaining this as a lookup table is neither maintainable nor adaptable to evolving CPCB limits or treatment science.</w:t>
      </w:r>
    </w:p>
    <w:p>
      <w:pPr>
        <w:spacing w:before="0" w:after="80"/>
        <w:ind w:firstLine="259"/>
        <w:jc w:val="both"/>
      </w:pPr>
      <w:r>
        <w:rPr>
          <w:rFonts w:ascii="Times New Roman" w:hAnsi="Times New Roman"/>
          <w:b w:val="0"/>
          <w:i w:val="0"/>
          <w:sz w:val="20"/>
        </w:rPr>
        <w:t xml:space="preserve">Large language models (LLMs) offer a structurally different approach to this problem. LLMs encode broad chemical process knowledge acquired during pre-training across scientific literature, regulatory documents, and engineering references. They can generate this knowledge in structured, machine-readable formats when prompted correctly. However, making LLM output reliable for engineering applications — where hallucinated dosage values or incorrect chemical suggestions can be acted upon by operators — requires explicit structural constraints on the generation process. Recent benchmarking studies confirm that general-purpose LLMs including Gemini frequently fail on quantitative wastewater engineering tasks such as dosage calculation and treatment process identification when queried without domain-specific constraints </w:t>
      </w:r>
      <w:r>
        <w:rPr>
          <w:rFonts w:ascii="Times New Roman" w:hAnsi="Times New Roman"/>
          <w:b w:val="0"/>
          <w:i w:val="0"/>
          <w:sz w:val="18"/>
        </w:rPr>
        <w:t>[4]</w:t>
      </w:r>
      <w:r>
        <w:rPr>
          <w:rFonts w:ascii="Times New Roman" w:hAnsi="Times New Roman"/>
          <w:b w:val="0"/>
          <w:i w:val="0"/>
          <w:sz w:val="20"/>
        </w:rPr>
        <w:t>.</w:t>
      </w:r>
    </w:p>
    <w:p>
      <w:pPr>
        <w:spacing w:before="0" w:after="80"/>
        <w:ind w:firstLine="259"/>
        <w:jc w:val="both"/>
      </w:pPr>
      <w:r>
        <w:rPr>
          <w:rFonts w:ascii="Times New Roman" w:hAnsi="Times New Roman"/>
          <w:b w:val="0"/>
          <w:i w:val="0"/>
          <w:sz w:val="20"/>
        </w:rPr>
        <w:t>This paper addresses the detection-versus-remediation gap through schema-constrained LLM prompting. The presented system takes as input the output of an upstream ML anomaly detection agent — a list of violated CPCB parameters with their measured values and severity levels — and produces per-parameter chemical treatment prescriptions in a structured JSON format defined by a Pydantic BaseModel schema. A key engineering contribution is the identification and resolution of an undocumented Gemini API failure mode encountered during pipeline development: passing a nested Pydantic schema containing Optional[List[NestedModel]] fields to the response_schema parameter triggers a silent validation error at generation time, causing the API to return unstructured text without raising an exception to the caller. We present the root cause analysis, the error trace, and a generalised workaround applicable to any Gemini deployment using nested Pydantic schemas.</w:t>
      </w:r>
    </w:p>
    <w:p>
      <w:pPr>
        <w:spacing w:before="0" w:after="80"/>
        <w:ind w:firstLine="259"/>
        <w:jc w:val="both"/>
      </w:pPr>
      <w:r>
        <w:rPr>
          <w:rFonts w:ascii="Times New Roman" w:hAnsi="Times New Roman"/>
          <w:b w:val="0"/>
          <w:i w:val="0"/>
          <w:sz w:val="20"/>
        </w:rPr>
        <w:t>The remainder of this paper is organised as follows. Section II surveys related work in prescriptive analytics for wastewater treatment and structured generation in LLMs. Section III details the system design including schema architecture, prompt engineering strategy, and the \$defs failure and its resolution. Section IV presents the evaluation methodology and results. Section V discusses limitations and generalisability. Section VI concludes with future work directions.</w:t>
      </w:r>
    </w:p>
    <w:p>
      <w:pPr>
        <w:spacing w:before="160" w:after="60"/>
        <w:ind w:firstLine="0"/>
        <w:jc w:val="center"/>
      </w:pPr>
      <w:r>
        <w:rPr>
          <w:rFonts w:ascii="Times New Roman" w:hAnsi="Times New Roman"/>
          <w:b/>
          <w:i w:val="0"/>
          <w:sz w:val="20"/>
        </w:rPr>
        <w:t>II.  BACKGROUND AND RELATED WORK</w:t>
      </w:r>
    </w:p>
    <w:p>
      <w:pPr>
        <w:spacing w:before="100" w:after="40"/>
        <w:ind w:firstLine="0"/>
        <w:jc w:val="left"/>
      </w:pPr>
      <w:r>
        <w:rPr>
          <w:rFonts w:ascii="Times New Roman" w:hAnsi="Times New Roman"/>
          <w:b w:val="0"/>
          <w:i/>
          <w:sz w:val="20"/>
        </w:rPr>
        <w:t>A. Prescriptive Analytics in Wastewater Treatment</w:t>
      </w:r>
    </w:p>
    <w:p>
      <w:pPr>
        <w:spacing w:before="0" w:after="80"/>
        <w:ind w:firstLine="259"/>
        <w:jc w:val="both"/>
      </w:pPr>
      <w:r>
        <w:rPr>
          <w:rFonts w:ascii="Times New Roman" w:hAnsi="Times New Roman"/>
          <w:b w:val="0"/>
          <w:i w:val="0"/>
          <w:sz w:val="20"/>
        </w:rPr>
        <w:t>Traditional monitoring systems for industrial effluent treatment plants operate on a supervisory control and data acquisition (SCADA) paradigm, in which sensor readings are logged and threshold alarms are triggered when parameters exceed configured limits. These systems provide detection but no recommendation. The transition from detection to prescription — generating actionable guidance on which treatment chemical to apply, at what dosage, and through which unit operation — is the central challenge this work addresses.</w:t>
      </w:r>
    </w:p>
    <w:p>
      <w:pPr>
        <w:spacing w:before="0" w:after="80"/>
        <w:ind w:firstLine="259"/>
        <w:jc w:val="both"/>
      </w:pPr>
      <w:r>
        <w:rPr>
          <w:rFonts w:ascii="Times New Roman" w:hAnsi="Times New Roman"/>
          <w:b w:val="0"/>
          <w:i w:val="0"/>
          <w:sz w:val="20"/>
        </w:rPr>
        <w:t xml:space="preserve">To the best of the authors' knowledge, the only published application of prescriptive analytics to an industrial wastewater treatment process is the 2021 study by Rodríguez et al. </w:t>
      </w:r>
      <w:r>
        <w:rPr>
          <w:rFonts w:ascii="Times New Roman" w:hAnsi="Times New Roman"/>
          <w:b w:val="0"/>
          <w:i w:val="0"/>
          <w:sz w:val="18"/>
        </w:rPr>
        <w:t>[5]</w:t>
      </w:r>
      <w:r>
        <w:rPr>
          <w:rFonts w:ascii="Times New Roman" w:hAnsi="Times New Roman"/>
          <w:b w:val="0"/>
          <w:i w:val="0"/>
          <w:sz w:val="20"/>
        </w:rPr>
        <w:t>, which focuses on pH control as a case study. Their system integrates ML prediction with optimisation algorithms to recommend lime or acid dosages necessary to bring effluent pH within discharge standards, and is validated on a real industrial plant. While representing an important proof of concept, the study is limited to a single parameter at a single facility and employs rule-based optimisation rather than generative reasoning. It cannot generalise across multiple parameters, industry contexts, or produce natural-language explanations alongside the dosage values. The system described in this paper generalises and extends the prescriptive concept to eight CPCB-regulated parameters across seventeen industry types.</w:t>
      </w:r>
    </w:p>
    <w:p>
      <w:pPr>
        <w:spacing w:before="100" w:after="40"/>
        <w:ind w:firstLine="0"/>
        <w:jc w:val="left"/>
      </w:pPr>
      <w:r>
        <w:rPr>
          <w:rFonts w:ascii="Times New Roman" w:hAnsi="Times New Roman"/>
          <w:b w:val="0"/>
          <w:i/>
          <w:sz w:val="20"/>
        </w:rPr>
        <w:t>B. Large Language Models in Environmental Engineering</w:t>
      </w:r>
    </w:p>
    <w:p>
      <w:pPr>
        <w:spacing w:before="0" w:after="80"/>
        <w:ind w:firstLine="259"/>
        <w:jc w:val="both"/>
      </w:pPr>
      <w:r>
        <w:rPr>
          <w:rFonts w:ascii="Times New Roman" w:hAnsi="Times New Roman"/>
          <w:b w:val="0"/>
          <w:i w:val="0"/>
          <w:sz w:val="20"/>
        </w:rPr>
        <w:t xml:space="preserve">The application of LLMs to environmental engineering has accelerated rapidly since 2023. Multi-agent LLM frameworks have been demonstrated for wastewater treatment plant optimisation </w:t>
      </w:r>
      <w:r>
        <w:rPr>
          <w:rFonts w:ascii="Times New Roman" w:hAnsi="Times New Roman"/>
          <w:b w:val="0"/>
          <w:i w:val="0"/>
          <w:sz w:val="18"/>
        </w:rPr>
        <w:t>[6]</w:t>
      </w:r>
      <w:r>
        <w:rPr>
          <w:rFonts w:ascii="Times New Roman" w:hAnsi="Times New Roman"/>
          <w:b w:val="0"/>
          <w:i w:val="0"/>
          <w:sz w:val="20"/>
        </w:rPr>
        <w:t xml:space="preserve">, showing that specialised agents can support adaptive decision-making for pressure management and operator Q&amp;A. A broader opportunity mapping </w:t>
      </w:r>
      <w:r>
        <w:rPr>
          <w:rFonts w:ascii="Times New Roman" w:hAnsi="Times New Roman"/>
          <w:b w:val="0"/>
          <w:i w:val="0"/>
          <w:sz w:val="18"/>
        </w:rPr>
        <w:t>[7]</w:t>
      </w:r>
      <w:r>
        <w:rPr>
          <w:rFonts w:ascii="Times New Roman" w:hAnsi="Times New Roman"/>
          <w:b w:val="0"/>
          <w:i w:val="0"/>
          <w:sz w:val="20"/>
        </w:rPr>
        <w:t xml:space="preserve"> identifies hallucination risk, absence of domain fine-tuning, and difficulty integrating LLM agents with real-time sensor streams as the primary obstacles to reliable LLM deployment in critical ETP infrastructure. The study explicitly states that foundation models must be paired with structured output mechanisms before they can be deployed in operational settings — precisely the contribution of the pipeline presented in this paper.</w:t>
      </w:r>
    </w:p>
    <w:p>
      <w:pPr>
        <w:spacing w:before="0" w:after="80"/>
        <w:ind w:firstLine="259"/>
        <w:jc w:val="both"/>
      </w:pPr>
      <w:r>
        <w:rPr>
          <w:rFonts w:ascii="Times New Roman" w:hAnsi="Times New Roman"/>
          <w:b w:val="0"/>
          <w:i w:val="0"/>
          <w:sz w:val="20"/>
        </w:rPr>
        <w:t xml:space="preserve">Domain-adapted LLMs for water and wastewater management have been proposed as a pathway to closing the reliability gap </w:t>
      </w:r>
      <w:r>
        <w:rPr>
          <w:rFonts w:ascii="Times New Roman" w:hAnsi="Times New Roman"/>
          <w:b w:val="0"/>
          <w:i w:val="0"/>
          <w:sz w:val="18"/>
        </w:rPr>
        <w:t>[8]</w:t>
      </w:r>
      <w:r>
        <w:rPr>
          <w:rFonts w:ascii="Times New Roman" w:hAnsi="Times New Roman"/>
          <w:b w:val="0"/>
          <w:i w:val="0"/>
          <w:sz w:val="20"/>
        </w:rPr>
        <w:t xml:space="preserve">. Fine-tuning on domain-specific corpora improves performance on water engineering tasks, but structured output generation for actionable prescriptions remains an open problem even for adapted models. The WaterER benchmark </w:t>
      </w:r>
      <w:r>
        <w:rPr>
          <w:rFonts w:ascii="Times New Roman" w:hAnsi="Times New Roman"/>
          <w:b w:val="0"/>
          <w:i w:val="0"/>
          <w:sz w:val="18"/>
        </w:rPr>
        <w:t>[4]</w:t>
      </w:r>
      <w:r>
        <w:rPr>
          <w:rFonts w:ascii="Times New Roman" w:hAnsi="Times New Roman"/>
          <w:b w:val="0"/>
          <w:i w:val="0"/>
          <w:sz w:val="20"/>
        </w:rPr>
        <w:t xml:space="preserve"> provides the most comprehensive evaluation of current LLMs on water engineering tasks: across 983 evaluation items, GPT-4 demonstrates superior overall performance while Gemini excels in academic contexts. Critically, the benchmark reveals that even the best-performing models frequently produce incorrect chemical dosages and misidentify treatment processes when queried without explicit structural constraints — establishing that schema-constrained prompting is a necessary supplement to model capability in this domain.</w:t>
      </w:r>
    </w:p>
    <w:p>
      <w:pPr>
        <w:spacing w:before="100" w:after="40"/>
        <w:ind w:firstLine="0"/>
        <w:jc w:val="left"/>
      </w:pPr>
      <w:r>
        <w:rPr>
          <w:rFonts w:ascii="Times New Roman" w:hAnsi="Times New Roman"/>
          <w:b w:val="0"/>
          <w:i/>
          <w:sz w:val="20"/>
        </w:rPr>
        <w:t>C. Structured Generation in Language Models</w:t>
      </w:r>
    </w:p>
    <w:p>
      <w:pPr>
        <w:spacing w:before="0" w:after="80"/>
        <w:ind w:firstLine="259"/>
        <w:jc w:val="both"/>
      </w:pPr>
      <w:r>
        <w:rPr>
          <w:rFonts w:ascii="Times New Roman" w:hAnsi="Times New Roman"/>
          <w:b w:val="0"/>
          <w:i w:val="0"/>
          <w:sz w:val="20"/>
        </w:rPr>
        <w:t xml:space="preserve">Structured output generation in LLMs has evolved through several phases. Early approaches relied on prompt engineering, appending instructions such as 'output valid JSON only' to generation requests. JSON mode, introduced by OpenAI in late 2023, guarantees syntactically valid JSON but not schema-valid JSON — a distinction critical for engineering applications where field names, types, and constraints must be precise. The SLOT framework </w:t>
      </w:r>
      <w:r>
        <w:rPr>
          <w:rFonts w:ascii="Times New Roman" w:hAnsi="Times New Roman"/>
          <w:b w:val="0"/>
          <w:i w:val="0"/>
          <w:sz w:val="18"/>
        </w:rPr>
        <w:t>[10]</w:t>
      </w:r>
      <w:r>
        <w:rPr>
          <w:rFonts w:ascii="Times New Roman" w:hAnsi="Times New Roman"/>
          <w:b w:val="0"/>
          <w:i w:val="0"/>
          <w:sz w:val="20"/>
        </w:rPr>
        <w:t xml:space="preserve"> demonstrates that describing the output schema explicitly in the prompt text — rather than relying solely on an API schema parameter — reduces schema violation rates by 43% across diverse generation tasks. Schema-embedded prompts consistently yield higher compliance than zero-shot or chain-of-thought styles for structured output tasks </w:t>
      </w:r>
      <w:r>
        <w:rPr>
          <w:rFonts w:ascii="Times New Roman" w:hAnsi="Times New Roman"/>
          <w:b w:val="0"/>
          <w:i w:val="0"/>
          <w:sz w:val="18"/>
        </w:rPr>
        <w:t>[12]</w:t>
      </w:r>
      <w:r>
        <w:rPr>
          <w:rFonts w:ascii="Times New Roman" w:hAnsi="Times New Roman"/>
          <w:b w:val="0"/>
          <w:i w:val="0"/>
          <w:sz w:val="20"/>
        </w:rPr>
        <w:t>.</w:t>
      </w:r>
    </w:p>
    <w:p>
      <w:pPr>
        <w:spacing w:before="0" w:after="80"/>
        <w:ind w:firstLine="259"/>
        <w:jc w:val="both"/>
      </w:pPr>
      <w:r>
        <w:rPr>
          <w:rFonts w:ascii="Times New Roman" w:hAnsi="Times New Roman"/>
          <w:b w:val="0"/>
          <w:i w:val="0"/>
          <w:sz w:val="20"/>
        </w:rPr>
        <w:t xml:space="preserve">The JSONSchemaBench evaluation </w:t>
      </w:r>
      <w:r>
        <w:rPr>
          <w:rFonts w:ascii="Times New Roman" w:hAnsi="Times New Roman"/>
          <w:b w:val="0"/>
          <w:i w:val="0"/>
          <w:sz w:val="18"/>
        </w:rPr>
        <w:t>[9]</w:t>
      </w:r>
      <w:r>
        <w:rPr>
          <w:rFonts w:ascii="Times New Roman" w:hAnsi="Times New Roman"/>
          <w:b w:val="0"/>
          <w:i w:val="0"/>
          <w:sz w:val="20"/>
        </w:rPr>
        <w:t xml:space="preserve"> provides the definitive benchmark for constrained decoding frameworks, evaluating six systems including Guidance, Outlines, XGrammar, and Gemini on 10,000 real-world JSON schemas. The study reveals that Gemini shows specific performance limitations when handling complex nested schemas — particularly schemas containing \$defs reference patterns, anyOf type unions, and null type options. These findings directly corroborate the failure mode encountered in the pipeline described in this paper. Reinforcement-learning-based approaches to schema adherence </w:t>
      </w:r>
      <w:r>
        <w:rPr>
          <w:rFonts w:ascii="Times New Roman" w:hAnsi="Times New Roman"/>
          <w:b w:val="0"/>
          <w:i w:val="0"/>
          <w:sz w:val="18"/>
        </w:rPr>
        <w:t>[11]</w:t>
      </w:r>
      <w:r>
        <w:rPr>
          <w:rFonts w:ascii="Times New Roman" w:hAnsi="Times New Roman"/>
          <w:b w:val="0"/>
          <w:i w:val="0"/>
          <w:sz w:val="20"/>
        </w:rPr>
        <w:t xml:space="preserve"> show that even small models (1.5B parameters) can achieve competitive structured output compliance when trained with targeted reward signals, confirming that strict schema compliance is an addressable engineering problem.</w:t>
      </w:r>
    </w:p>
    <w:p>
      <w:pPr>
        <w:spacing w:before="100" w:after="40"/>
        <w:ind w:firstLine="0"/>
        <w:jc w:val="left"/>
      </w:pPr>
      <w:r>
        <w:rPr>
          <w:rFonts w:ascii="Times New Roman" w:hAnsi="Times New Roman"/>
          <w:b w:val="0"/>
          <w:i/>
          <w:sz w:val="20"/>
        </w:rPr>
        <w:t>D. Chemical Domain Knowledge in LLM Generation</w:t>
      </w:r>
    </w:p>
    <w:p>
      <w:pPr>
        <w:spacing w:before="0" w:after="80"/>
        <w:ind w:firstLine="259"/>
        <w:jc w:val="both"/>
      </w:pPr>
      <w:r>
        <w:rPr>
          <w:rFonts w:ascii="Times New Roman" w:hAnsi="Times New Roman"/>
          <w:b w:val="0"/>
          <w:i w:val="0"/>
          <w:sz w:val="20"/>
        </w:rPr>
        <w:t xml:space="preserve">LLMs demonstrate a persistent failure mode when generating quantitative chemical outputs without domain grounding. A large-scale LLM hackathon on materials science and chemistry applications </w:t>
      </w:r>
      <w:r>
        <w:rPr>
          <w:rFonts w:ascii="Times New Roman" w:hAnsi="Times New Roman"/>
          <w:b w:val="0"/>
          <w:i w:val="0"/>
          <w:sz w:val="18"/>
        </w:rPr>
        <w:t>[13]</w:t>
      </w:r>
      <w:r>
        <w:rPr>
          <w:rFonts w:ascii="Times New Roman" w:hAnsi="Times New Roman"/>
          <w:b w:val="0"/>
          <w:i w:val="0"/>
          <w:sz w:val="20"/>
        </w:rPr>
        <w:t xml:space="preserve"> identified hallucination of chemical properties and incorrect stoichiometric ratios as the most common failure modes, and recommended explicit output format specifications, few-shot examples with correct chemical formats, and constraining outputs to known chemical entity lists as mitigation strategies. These recommendations are directly incorporated into the prompt engineering strategy described in Section III-C.</w:t>
      </w:r>
    </w:p>
    <w:p>
      <w:pPr>
        <w:spacing w:before="0" w:after="80"/>
        <w:ind w:firstLine="259"/>
        <w:jc w:val="both"/>
      </w:pPr>
      <w:r>
        <w:rPr>
          <w:rFonts w:ascii="Times New Roman" w:hAnsi="Times New Roman"/>
          <w:b w:val="0"/>
          <w:i w:val="0"/>
          <w:sz w:val="20"/>
        </w:rPr>
        <w:t xml:space="preserve">Comparative evaluation of DeepSeek, ChatGPT, and Gemini on water science questions </w:t>
      </w:r>
      <w:r>
        <w:rPr>
          <w:rFonts w:ascii="Times New Roman" w:hAnsi="Times New Roman"/>
          <w:b w:val="0"/>
          <w:i w:val="0"/>
          <w:sz w:val="18"/>
        </w:rPr>
        <w:t>[14]</w:t>
      </w:r>
      <w:r>
        <w:rPr>
          <w:rFonts w:ascii="Times New Roman" w:hAnsi="Times New Roman"/>
          <w:b w:val="0"/>
          <w:i w:val="0"/>
          <w:sz w:val="20"/>
        </w:rPr>
        <w:t xml:space="preserve"> finds that Gemini is competitive on academic water questions but shows inconsistency in quantitative dosage recommendations, occasionally confusing treatment chemicals for similar parameter types. A dedicated evaluation of LLMs on water engineering tasks </w:t>
      </w:r>
      <w:r>
        <w:rPr>
          <w:rFonts w:ascii="Times New Roman" w:hAnsi="Times New Roman"/>
          <w:b w:val="0"/>
          <w:i w:val="0"/>
          <w:sz w:val="18"/>
        </w:rPr>
        <w:t>[15]</w:t>
      </w:r>
      <w:r>
        <w:rPr>
          <w:rFonts w:ascii="Times New Roman" w:hAnsi="Times New Roman"/>
          <w:b w:val="0"/>
          <w:i w:val="0"/>
          <w:sz w:val="20"/>
        </w:rPr>
        <w:t xml:space="preserve"> further confirms that current models fail on tasks requiring precise dosage calculation and regulatory compliance checking. These findings motivate the schema-constrained, temperature-controlled generation approach in this work: the schema enforces output structure while low temperature (0.2) suppresses token-level hallucination in quantitative fields.</w:t>
      </w:r>
    </w:p>
    <w:p>
      <w:pPr>
        <w:spacing w:before="160" w:after="60"/>
        <w:ind w:firstLine="0"/>
        <w:jc w:val="center"/>
      </w:pPr>
      <w:r>
        <w:rPr>
          <w:rFonts w:ascii="Times New Roman" w:hAnsi="Times New Roman"/>
          <w:b/>
          <w:i w:val="0"/>
          <w:sz w:val="20"/>
        </w:rPr>
        <w:t>III.  SYSTEM DESIGN</w:t>
      </w:r>
    </w:p>
    <w:p>
      <w:pPr>
        <w:spacing w:before="100" w:after="40"/>
        <w:ind w:firstLine="0"/>
        <w:jc w:val="left"/>
      </w:pPr>
      <w:r>
        <w:rPr>
          <w:rFonts w:ascii="Times New Roman" w:hAnsi="Times New Roman"/>
          <w:b w:val="0"/>
          <w:i/>
          <w:sz w:val="20"/>
        </w:rPr>
        <w:t>A. Input Interface: Violation Detection</w:t>
      </w:r>
    </w:p>
    <w:p>
      <w:pPr>
        <w:spacing w:before="0" w:after="80"/>
        <w:ind w:firstLine="259"/>
        <w:jc w:val="both"/>
      </w:pPr>
      <w:r>
        <w:rPr>
          <w:rFonts w:ascii="Times New Roman" w:hAnsi="Times New Roman"/>
          <w:b w:val="0"/>
          <w:i w:val="0"/>
          <w:sz w:val="20"/>
        </w:rPr>
        <w:t xml:space="preserve">The LLM prescription pipeline operates downstream of an anomaly detection and classification agent. This upstream agent processes effluent sensor readings against CPCB General Standards </w:t>
      </w:r>
      <w:r>
        <w:rPr>
          <w:rFonts w:ascii="Times New Roman" w:hAnsi="Times New Roman"/>
          <w:b w:val="0"/>
          <w:i w:val="0"/>
          <w:sz w:val="18"/>
        </w:rPr>
        <w:t>[1]</w:t>
      </w:r>
      <w:r>
        <w:rPr>
          <w:rFonts w:ascii="Times New Roman" w:hAnsi="Times New Roman"/>
          <w:b w:val="0"/>
          <w:i w:val="0"/>
          <w:sz w:val="20"/>
        </w:rPr>
        <w:t xml:space="preserve"> and identifies parameters that exceed their prescribed thresholds. The output passed to the LLM agent is a structured violation manifest comprising the industry type, the complete set of eight parameter readings, and a per-parameter severity assignment: Normal, Warning, or Critical. Only parameters classified as Warning or Critical trigger prescription generation; Normal parameters are excluded to prevent the generation of prescriptions for acceptable readings.</w:t>
      </w:r>
    </w:p>
    <w:p>
      <w:pPr>
        <w:spacing w:before="160" w:after="40"/>
        <w:ind w:firstLine="0"/>
        <w:jc w:val="center"/>
      </w:pPr>
      <w:r>
        <w:rPr>
          <w:rFonts w:ascii="Times New Roman" w:hAnsi="Times New Roman"/>
          <w:b/>
          <w:i w:val="0"/>
          <w:sz w:val="18"/>
        </w:rPr>
        <w:t>TABLE I.   CPCB REGULATED EFFLUENT PARAMETERS AND DISCHARGE LIMITS</w:t>
      </w:r>
    </w:p>
    <w:tbl>
      <w:tblPr>
        <w:tblStyle w:val="TableGrid"/>
        <w:tblW w:type="auto" w:w="0"/>
        <w:jc w:val="center"/>
        <w:tblLook w:firstColumn="1" w:firstRow="1" w:lastColumn="0" w:lastRow="0" w:noHBand="0" w:noVBand="1" w:val="04A0"/>
      </w:tblPr>
      <w:tblGrid>
        <w:gridCol w:w="3429"/>
        <w:gridCol w:w="3429"/>
        <w:gridCol w:w="3429"/>
      </w:tblGrid>
      <w:tr>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Parameter</w:t>
            </w:r>
          </w:p>
        </w:tc>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CPCB Limit</w:t>
            </w:r>
          </w:p>
        </w:tc>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Unit</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Biological Oxygen Demand (BOD)</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 30</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mg/L</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Chemical Oxygen Demand (COD)</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 250</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mg/L</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Total Suspended Solids (TSS)</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 100</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mg/L</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Total Dissolved Solids (TDS)</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 2100</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mg/L</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pH</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6.5 – 8.5</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Oil and Grease</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 10</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mg/L</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Ammonia Nitrogen</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 50</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mg/L</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Temperature</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 40</w:t>
            </w:r>
          </w:p>
        </w:tc>
        <w:tc>
          <w:tcPr>
            <w:tcW w:type="dxa" w:w="342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°C</w:t>
            </w:r>
          </w:p>
        </w:tc>
      </w:tr>
    </w:tbl>
    <w:p>
      <w:pPr>
        <w:spacing w:after="100" w:before="0"/>
      </w:pPr>
      <w:r>
        <w:rPr>
          <w:sz w:val="8"/>
        </w:rPr>
        <w:t xml:space="preserve"> </w:t>
      </w:r>
    </w:p>
    <w:p>
      <w:pPr>
        <w:spacing w:before="100" w:after="40"/>
        <w:ind w:firstLine="0"/>
        <w:jc w:val="left"/>
      </w:pPr>
      <w:r>
        <w:rPr>
          <w:rFonts w:ascii="Times New Roman" w:hAnsi="Times New Roman"/>
          <w:b w:val="0"/>
          <w:i/>
          <w:sz w:val="20"/>
        </w:rPr>
        <w:t>B. Pydantic Schema Architecture</w:t>
      </w:r>
    </w:p>
    <w:p>
      <w:pPr>
        <w:spacing w:before="0" w:after="80"/>
        <w:ind w:firstLine="259"/>
        <w:jc w:val="both"/>
      </w:pPr>
      <w:r>
        <w:rPr>
          <w:rFonts w:ascii="Times New Roman" w:hAnsi="Times New Roman"/>
          <w:b w:val="0"/>
          <w:i w:val="0"/>
          <w:sz w:val="20"/>
        </w:rPr>
        <w:t xml:space="preserve">The prescription output is structured through two Pydantic BaseModel classes </w:t>
      </w:r>
      <w:r>
        <w:rPr>
          <w:rFonts w:ascii="Times New Roman" w:hAnsi="Times New Roman"/>
          <w:b w:val="0"/>
          <w:i w:val="0"/>
          <w:sz w:val="18"/>
        </w:rPr>
        <w:t>[16]</w:t>
      </w:r>
      <w:r>
        <w:rPr>
          <w:rFonts w:ascii="Times New Roman" w:hAnsi="Times New Roman"/>
          <w:b w:val="0"/>
          <w:i w:val="0"/>
          <w:sz w:val="20"/>
        </w:rPr>
        <w:t>. The inner class, ParameterTreatment, encapsulates the full remediation prescription for a single violated parameter. The outer class, InsightSchema, aggregates per-parameter prescriptions alongside summary narrative fields. The schema was designed with eight fields in ParameterTreatment, each chosen for a specific operational purpose.</w:t>
      </w:r>
    </w:p>
    <w:p>
      <w:pPr>
        <w:spacing w:before="0" w:after="80"/>
        <w:ind w:firstLine="259"/>
        <w:jc w:val="both"/>
      </w:pPr>
      <w:r>
        <w:rPr>
          <w:rFonts w:ascii="Times New Roman" w:hAnsi="Times New Roman"/>
          <w:b w:val="0"/>
          <w:i w:val="0"/>
          <w:sz w:val="20"/>
        </w:rPr>
        <w:t>The chemical field captures the specific reagent name (e.g., aluminium sulphate, sodium hydroxide, chlorine gas) rather than a category label, enabling operators to place a purchase order directly from the prescription. The dosage field uses a range string format (e.g., '15–20 mg/L') rather than a single value, reflecting the practical reality that treatment chemistry is sensitive to influent variability. The process field names the unit operation (e.g., coagulation-flocculation, activated sludge, ion exchange) that applies the chemical. The cost_band field — classified as Low, Medium, or High relative to the treated volume — is a practical addition absent from existing prescriptive systems, enabling operational decisions that balance compliance with treatment cost.</w:t>
      </w:r>
    </w:p>
    <w:p>
      <w:pPr>
        <w:spacing w:before="100" w:after="40"/>
        <w:ind w:firstLine="0"/>
        <w:jc w:val="center"/>
      </w:pPr>
      <w:r>
        <w:rPr>
          <w:rFonts w:ascii="Times New Roman" w:hAnsi="Times New Roman"/>
          <w:b w:val="0"/>
          <w:i/>
          <w:sz w:val="18"/>
        </w:rPr>
        <w:t>Listing 1. Pydantic Schema — ParameterTreatment and InsightSchema</w:t>
      </w:r>
    </w:p>
    <w:p>
      <w:pPr>
        <w:spacing w:before="0" w:after="0"/>
        <w:ind w:firstLine="0"/>
        <w:jc w:val="left"/>
        <w:shd w:val="clear" w:color="auto" w:fill="F2F2F2"/>
      </w:pPr>
      <w:r>
        <w:rPr>
          <w:rFonts w:ascii="Courier New" w:hAnsi="Courier New"/>
          <w:sz w:val="16"/>
        </w:rPr>
        <w:t>from pydantic import BaseModel</w:t>
      </w:r>
    </w:p>
    <w:p>
      <w:pPr>
        <w:spacing w:before="0" w:after="0"/>
        <w:ind w:firstLine="0"/>
        <w:jc w:val="left"/>
        <w:shd w:val="clear" w:color="auto" w:fill="F2F2F2"/>
      </w:pPr>
      <w:r>
        <w:rPr>
          <w:rFonts w:ascii="Courier New" w:hAnsi="Courier New"/>
          <w:sz w:val="16"/>
        </w:rPr>
        <w:t>from typing import List, Optional</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class ParameterTreatment(BaseModel):</w:t>
      </w:r>
    </w:p>
    <w:p>
      <w:pPr>
        <w:spacing w:before="0" w:after="0"/>
        <w:ind w:firstLine="0"/>
        <w:jc w:val="left"/>
        <w:shd w:val="clear" w:color="auto" w:fill="F2F2F2"/>
      </w:pPr>
      <w:r>
        <w:rPr>
          <w:rFonts w:ascii="Courier New" w:hAnsi="Courier New"/>
          <w:sz w:val="16"/>
        </w:rPr>
        <w:t xml:space="preserve">    parameter: str        # e.g., 'COD'</w:t>
      </w:r>
    </w:p>
    <w:p>
      <w:pPr>
        <w:spacing w:before="0" w:after="0"/>
        <w:ind w:firstLine="0"/>
        <w:jc w:val="left"/>
        <w:shd w:val="clear" w:color="auto" w:fill="F2F2F2"/>
      </w:pPr>
      <w:r>
        <w:rPr>
          <w:rFonts w:ascii="Courier New" w:hAnsi="Courier New"/>
          <w:sz w:val="16"/>
        </w:rPr>
        <w:t xml:space="preserve">    current_value: float  # measured value, e.g. 850.0</w:t>
      </w:r>
    </w:p>
    <w:p>
      <w:pPr>
        <w:spacing w:before="0" w:after="0"/>
        <w:ind w:firstLine="0"/>
        <w:jc w:val="left"/>
        <w:shd w:val="clear" w:color="auto" w:fill="F2F2F2"/>
      </w:pPr>
      <w:r>
        <w:rPr>
          <w:rFonts w:ascii="Courier New" w:hAnsi="Courier New"/>
          <w:sz w:val="16"/>
        </w:rPr>
        <w:t xml:space="preserve">    issue: str            # chemical meaning of the violation</w:t>
      </w:r>
    </w:p>
    <w:p>
      <w:pPr>
        <w:spacing w:before="0" w:after="0"/>
        <w:ind w:firstLine="0"/>
        <w:jc w:val="left"/>
        <w:shd w:val="clear" w:color="auto" w:fill="F2F2F2"/>
      </w:pPr>
      <w:r>
        <w:rPr>
          <w:rFonts w:ascii="Courier New" w:hAnsi="Courier New"/>
          <w:sz w:val="16"/>
        </w:rPr>
        <w:t xml:space="preserve">    chemical: str         # reagent name, e.g. 'Alum'</w:t>
      </w:r>
    </w:p>
    <w:p>
      <w:pPr>
        <w:spacing w:before="0" w:after="0"/>
        <w:ind w:firstLine="0"/>
        <w:jc w:val="left"/>
        <w:shd w:val="clear" w:color="auto" w:fill="F2F2F2"/>
      </w:pPr>
      <w:r>
        <w:rPr>
          <w:rFonts w:ascii="Courier New" w:hAnsi="Courier New"/>
          <w:sz w:val="16"/>
        </w:rPr>
        <w:t xml:space="preserve">    dosage: str           # range string, e.g. '15–20 mg/L'</w:t>
      </w:r>
    </w:p>
    <w:p>
      <w:pPr>
        <w:spacing w:before="0" w:after="0"/>
        <w:ind w:firstLine="0"/>
        <w:jc w:val="left"/>
        <w:shd w:val="clear" w:color="auto" w:fill="F2F2F2"/>
      </w:pPr>
      <w:r>
        <w:rPr>
          <w:rFonts w:ascii="Courier New" w:hAnsi="Courier New"/>
          <w:sz w:val="16"/>
        </w:rPr>
        <w:t xml:space="preserve">    process: str          # unit operation</w:t>
      </w:r>
    </w:p>
    <w:p>
      <w:pPr>
        <w:spacing w:before="0" w:after="0"/>
        <w:ind w:firstLine="0"/>
        <w:jc w:val="left"/>
        <w:shd w:val="clear" w:color="auto" w:fill="F2F2F2"/>
      </w:pPr>
      <w:r>
        <w:rPr>
          <w:rFonts w:ascii="Courier New" w:hAnsi="Courier New"/>
          <w:sz w:val="16"/>
        </w:rPr>
        <w:t xml:space="preserve">    expected_outcome: str # post-treatment effect</w:t>
      </w:r>
    </w:p>
    <w:p>
      <w:pPr>
        <w:spacing w:before="0" w:after="0"/>
        <w:ind w:firstLine="0"/>
        <w:jc w:val="left"/>
        <w:shd w:val="clear" w:color="auto" w:fill="F2F2F2"/>
      </w:pPr>
      <w:r>
        <w:rPr>
          <w:rFonts w:ascii="Courier New" w:hAnsi="Courier New"/>
          <w:sz w:val="16"/>
        </w:rPr>
        <w:t xml:space="preserve">    cost_band: str        # 'Low' | 'Medium' | 'High'</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class InsightSchema(BaseModel):</w:t>
      </w:r>
    </w:p>
    <w:p>
      <w:pPr>
        <w:spacing w:before="0" w:after="0"/>
        <w:ind w:firstLine="0"/>
        <w:jc w:val="left"/>
        <w:shd w:val="clear" w:color="auto" w:fill="F2F2F2"/>
      </w:pPr>
      <w:r>
        <w:rPr>
          <w:rFonts w:ascii="Courier New" w:hAnsi="Courier New"/>
          <w:sz w:val="16"/>
        </w:rPr>
        <w:t xml:space="preserve">    summary: str</w:t>
      </w:r>
    </w:p>
    <w:p>
      <w:pPr>
        <w:spacing w:before="0" w:after="0"/>
        <w:ind w:firstLine="0"/>
        <w:jc w:val="left"/>
        <w:shd w:val="clear" w:color="auto" w:fill="F2F2F2"/>
      </w:pPr>
      <w:r>
        <w:rPr>
          <w:rFonts w:ascii="Courier New" w:hAnsi="Courier New"/>
          <w:sz w:val="16"/>
        </w:rPr>
        <w:t xml:space="preserve">    key_findings: List[str]</w:t>
      </w:r>
    </w:p>
    <w:p>
      <w:pPr>
        <w:spacing w:before="0" w:after="0"/>
        <w:ind w:firstLine="0"/>
        <w:jc w:val="left"/>
        <w:shd w:val="clear" w:color="auto" w:fill="F2F2F2"/>
      </w:pPr>
      <w:r>
        <w:rPr>
          <w:rFonts w:ascii="Courier New" w:hAnsi="Courier New"/>
          <w:sz w:val="16"/>
        </w:rPr>
        <w:t xml:space="preserve">    recommendations: List[str]</w:t>
      </w:r>
    </w:p>
    <w:p>
      <w:pPr>
        <w:spacing w:before="0" w:after="0"/>
        <w:ind w:firstLine="0"/>
        <w:jc w:val="left"/>
        <w:shd w:val="clear" w:color="auto" w:fill="F2F2F2"/>
      </w:pPr>
      <w:r>
        <w:rPr>
          <w:rFonts w:ascii="Courier New" w:hAnsi="Courier New"/>
          <w:sz w:val="16"/>
        </w:rPr>
        <w:t xml:space="preserve">    severity_level: str   # 'low'|'medium'|'high'|'critical'</w:t>
      </w:r>
    </w:p>
    <w:p>
      <w:pPr>
        <w:spacing w:before="0" w:after="0"/>
        <w:ind w:firstLine="0"/>
        <w:jc w:val="left"/>
        <w:shd w:val="clear" w:color="auto" w:fill="F2F2F2"/>
      </w:pPr>
      <w:r>
        <w:rPr>
          <w:rFonts w:ascii="Courier New" w:hAnsi="Courier New"/>
          <w:sz w:val="16"/>
        </w:rPr>
        <w:t xml:space="preserve">    parameter_treatments: Optional[List[ParameterTreatment]]</w:t>
      </w:r>
    </w:p>
    <w:p>
      <w:pPr>
        <w:spacing w:before="0" w:after="80"/>
      </w:pPr>
    </w:p>
    <w:p>
      <w:pPr>
        <w:spacing w:before="100" w:after="40"/>
        <w:ind w:firstLine="0"/>
        <w:jc w:val="left"/>
      </w:pPr>
      <w:r>
        <w:rPr>
          <w:rFonts w:ascii="Times New Roman" w:hAnsi="Times New Roman"/>
          <w:b w:val="0"/>
          <w:i/>
          <w:sz w:val="20"/>
        </w:rPr>
        <w:t>C. Prompt Engineering Strategy</w:t>
      </w:r>
    </w:p>
    <w:p>
      <w:pPr>
        <w:spacing w:before="0" w:after="80"/>
        <w:ind w:firstLine="259"/>
        <w:jc w:val="both"/>
      </w:pPr>
      <w:r>
        <w:rPr>
          <w:rFonts w:ascii="Times New Roman" w:hAnsi="Times New Roman"/>
          <w:b w:val="0"/>
          <w:i w:val="0"/>
          <w:sz w:val="20"/>
        </w:rPr>
        <w:t>The prompt delivered to Gemini is constructed dynamically for each API call from three components: a system context block containing the industry type and the complete set of eight parameter readings; a violation summary block listing the specific parameters that exceed CPCB thresholds along with their measured values, limits, and severity levels; and a schema specification block containing the full InsightSchema structure expressed as an annotated JSON template. The schema specification block is critical: it explicitly describes each field's expected type, format, and value domain in natural language, eliminating the API's need to interpret the schema object directly.</w:t>
      </w:r>
    </w:p>
    <w:p>
      <w:pPr>
        <w:spacing w:before="0" w:after="80"/>
        <w:ind w:firstLine="259"/>
        <w:jc w:val="both"/>
      </w:pPr>
      <w:r>
        <w:rPr>
          <w:rFonts w:ascii="Times New Roman" w:hAnsi="Times New Roman"/>
          <w:b w:val="0"/>
          <w:i w:val="0"/>
          <w:sz w:val="20"/>
        </w:rPr>
        <w:t xml:space="preserve">Temperature is fixed at 0.2 to suppress stochastic token selection in quantitative fields such as dosage ranges and chemical names. Research on structured data generation with GPT-4o confirms that lower temperature values consistently improve schema compliance rates for field-level accuracy in chemistry-adjacent tasks </w:t>
      </w:r>
      <w:r>
        <w:rPr>
          <w:rFonts w:ascii="Times New Roman" w:hAnsi="Times New Roman"/>
          <w:b w:val="0"/>
          <w:i w:val="0"/>
          <w:sz w:val="18"/>
        </w:rPr>
        <w:t>[12]</w:t>
      </w:r>
      <w:r>
        <w:rPr>
          <w:rFonts w:ascii="Times New Roman" w:hAnsi="Times New Roman"/>
          <w:b w:val="0"/>
          <w:i w:val="0"/>
          <w:sz w:val="20"/>
        </w:rPr>
        <w:t xml:space="preserve">. The prompt explicitly constrains the chemical field to named reagents (aluminium sulphate, ferrous sulphate, sodium hypochlorite, etc.) rather than generic categories, a technique validated by the 2024 chemistry LLM hackathon findings </w:t>
      </w:r>
      <w:r>
        <w:rPr>
          <w:rFonts w:ascii="Times New Roman" w:hAnsi="Times New Roman"/>
          <w:b w:val="0"/>
          <w:i w:val="0"/>
          <w:sz w:val="18"/>
        </w:rPr>
        <w:t>[13]</w:t>
      </w:r>
      <w:r>
        <w:rPr>
          <w:rFonts w:ascii="Times New Roman" w:hAnsi="Times New Roman"/>
          <w:b w:val="0"/>
          <w:i w:val="0"/>
          <w:sz w:val="20"/>
        </w:rPr>
        <w:t>. A single-call, single-response design is used: no multi-turn conversation, no retrieval augmentation.</w:t>
      </w:r>
    </w:p>
    <w:tbl>
      <w:tblPr>
        <w:tblW w:type="auto" w:w="0"/>
        <w:jc w:val="center"/>
        <w:tblLook w:firstColumn="1" w:firstRow="1" w:lastColumn="0" w:lastRow="0" w:noHBand="0" w:noVBand="1" w:val="04A0"/>
      </w:tblPr>
      <w:tblGrid>
        <w:gridCol w:w="10286"/>
      </w:tblGrid>
      <w:tr>
        <w:tc>
          <w:tcPr>
            <w:tcW w:type="dxa" w:w="10286"/>
            <w:shd w:val="clear" w:color="auto" w:fill="F5F5F5"/>
          </w:tcPr>
          <w:p>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AnalysisAgent     │</w:t>
            </w:r>
          </w:p>
          <w:p>
            <w:pPr>
              <w:spacing w:before="0" w:after="0"/>
              <w:ind w:firstLine="0"/>
            </w:pPr>
            <w:r>
              <w:rPr>
                <w:rFonts w:ascii="Courier New" w:hAnsi="Courier New"/>
                <w:sz w:val="16"/>
              </w:rPr>
              <w:t xml:space="preserve">  │  (Violation List)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{parameter, value, severity}</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prompt</w:t>
            </w:r>
          </w:p>
          <w:p>
            <w:pPr>
              <w:spacing w:before="0" w:after="0"/>
              <w:ind w:firstLine="0"/>
            </w:pPr>
            <w:r>
              <w:rPr>
                <w:rFonts w:ascii="Courier New" w:hAnsi="Courier New"/>
                <w:sz w:val="16"/>
              </w:rPr>
              <w:t xml:space="preserve">  │   LLMAgent         │──────────► Gemini API</w:t>
            </w:r>
          </w:p>
          <w:p>
            <w:pPr>
              <w:spacing w:before="0" w:after="0"/>
              <w:ind w:firstLine="0"/>
            </w:pPr>
            <w:r>
              <w:rPr>
                <w:rFonts w:ascii="Courier New" w:hAnsi="Courier New"/>
                <w:sz w:val="16"/>
              </w:rPr>
              <w:t xml:space="preserve">  │  (Orchestrator)    │◄────────── JSON response</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validate(InsightSchema)</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parameter_        │</w:t>
            </w:r>
          </w:p>
          <w:p>
            <w:pPr>
              <w:spacing w:before="0" w:after="0"/>
              <w:ind w:firstLine="0"/>
            </w:pPr>
            <w:r>
              <w:rPr>
                <w:rFonts w:ascii="Courier New" w:hAnsi="Courier New"/>
                <w:sz w:val="16"/>
              </w:rPr>
              <w:t xml:space="preserve">  │  treatments[ ]     │</w:t>
            </w:r>
          </w:p>
          <w:p>
            <w:pPr>
              <w:spacing w:before="0" w:after="0"/>
              <w:ind w:firstLine="0"/>
            </w:pPr>
            <w:r>
              <w:rPr>
                <w:rFonts w:ascii="Courier New" w:hAnsi="Courier New"/>
                <w:sz w:val="16"/>
              </w:rPr>
              <w:t xml:space="preserve">  │  {chemical, dosage,│</w:t>
            </w:r>
          </w:p>
          <w:p>
            <w:pPr>
              <w:spacing w:before="0" w:after="0"/>
              <w:ind w:firstLine="0"/>
            </w:pPr>
            <w:r>
              <w:rPr>
                <w:rFonts w:ascii="Courier New" w:hAnsi="Courier New"/>
                <w:sz w:val="16"/>
              </w:rPr>
              <w:t xml:space="preserve">  │   process, cost}   │</w:t>
            </w:r>
          </w:p>
          <w:p>
            <w:pPr>
              <w:spacing w:before="0" w:after="0"/>
              <w:ind w:firstLine="0"/>
            </w:pPr>
            <w:r>
              <w:rPr>
                <w:rFonts w:ascii="Courier New" w:hAnsi="Courier New"/>
                <w:sz w:val="16"/>
              </w:rPr>
              <w:t xml:space="preserve">  └────────────────────┘</w:t>
            </w:r>
          </w:p>
        </w:tc>
      </w:tr>
    </w:tbl>
    <w:p>
      <w:pPr>
        <w:spacing w:before="80" w:after="120"/>
        <w:ind w:firstLine="0"/>
        <w:jc w:val="center"/>
      </w:pPr>
      <w:r>
        <w:rPr>
          <w:rFonts w:ascii="Times New Roman" w:hAnsi="Times New Roman"/>
          <w:b w:val="0"/>
          <w:i w:val="0"/>
          <w:sz w:val="18"/>
        </w:rPr>
        <w:t>Fig. 1.  LLM prescription pipeline: violation manifest → LLMAgent → structured prescriptions.</w:t>
      </w:r>
    </w:p>
    <w:p>
      <w:pPr>
        <w:spacing w:before="100" w:after="40"/>
        <w:ind w:firstLine="0"/>
        <w:jc w:val="left"/>
      </w:pPr>
      <w:r>
        <w:rPr>
          <w:rFonts w:ascii="Times New Roman" w:hAnsi="Times New Roman"/>
          <w:b w:val="0"/>
          <w:i/>
          <w:sz w:val="20"/>
        </w:rPr>
        <w:t>D. The $defs Validation Failure and Resolution</w:t>
      </w:r>
    </w:p>
    <w:p>
      <w:pPr>
        <w:spacing w:before="0" w:after="80"/>
        <w:ind w:firstLine="259"/>
        <w:jc w:val="both"/>
      </w:pPr>
      <w:r>
        <w:rPr>
          <w:rFonts w:ascii="Times New Roman" w:hAnsi="Times New Roman"/>
          <w:b w:val="0"/>
          <w:i w:val="0"/>
          <w:sz w:val="20"/>
        </w:rPr>
        <w:t>During initial development, the LLM pipeline was configured to pass the InsightSchema Pydantic class directly to Gemini's response_schema parameter. This approach is the intended structured generation mechanism for the Gemini API. However, on the first production call, the API returned unstructured text without raising any exception. Debugging revealed that a silent validation error occurred at the schema-parsing stage, before generation was initiated. The error was captured at warning level in the application logs, containing the following trace:</w:t>
      </w:r>
    </w:p>
    <w:p>
      <w:pPr>
        <w:spacing w:before="100" w:after="40"/>
        <w:ind w:firstLine="0"/>
        <w:jc w:val="center"/>
      </w:pPr>
      <w:r>
        <w:rPr>
          <w:rFonts w:ascii="Times New Roman" w:hAnsi="Times New Roman"/>
          <w:b w:val="0"/>
          <w:i/>
          <w:sz w:val="18"/>
        </w:rPr>
        <w:t>Listing 2. Gemini $defs Validation Error (captured from application log)</w:t>
      </w:r>
    </w:p>
    <w:p>
      <w:pPr>
        <w:spacing w:before="0" w:after="0"/>
        <w:ind w:firstLine="0"/>
        <w:jc w:val="left"/>
        <w:shd w:val="clear" w:color="auto" w:fill="F2F2F2"/>
      </w:pPr>
      <w:r>
        <w:rPr>
          <w:rFonts w:ascii="Courier New" w:hAnsi="Courier New"/>
          <w:sz w:val="16"/>
        </w:rPr>
        <w:t>⚠️ Gemini API structured generation error:</w:t>
      </w:r>
    </w:p>
    <w:p>
      <w:pPr>
        <w:spacing w:before="0" w:after="0"/>
        <w:ind w:firstLine="0"/>
        <w:jc w:val="left"/>
        <w:shd w:val="clear" w:color="auto" w:fill="F2F2F2"/>
      </w:pPr>
      <w:r>
        <w:rPr>
          <w:rFonts w:ascii="Courier New" w:hAnsi="Courier New"/>
          <w:sz w:val="16"/>
        </w:rPr>
        <w:t xml:space="preserve">  3 validation errors for Schema</w:t>
      </w:r>
    </w:p>
    <w:p>
      <w:pPr>
        <w:spacing w:before="0" w:after="0"/>
        <w:ind w:firstLine="0"/>
        <w:jc w:val="left"/>
        <w:shd w:val="clear" w:color="auto" w:fill="F2F2F2"/>
      </w:pPr>
      <w:r>
        <w:rPr>
          <w:rFonts w:ascii="Courier New" w:hAnsi="Courier New"/>
          <w:sz w:val="16"/>
        </w:rPr>
        <w:t xml:space="preserve">  properties.parameter_treatments.anyOf.0.items.$ref</w:t>
      </w:r>
    </w:p>
    <w:p>
      <w:pPr>
        <w:spacing w:before="0" w:after="0"/>
        <w:ind w:firstLine="0"/>
        <w:jc w:val="left"/>
        <w:shd w:val="clear" w:color="auto" w:fill="F2F2F2"/>
      </w:pPr>
      <w:r>
        <w:rPr>
          <w:rFonts w:ascii="Courier New" w:hAnsi="Courier New"/>
          <w:sz w:val="16"/>
        </w:rPr>
        <w:t xml:space="preserve">    Extra inputs are not permitted</w:t>
      </w:r>
    </w:p>
    <w:p>
      <w:pPr>
        <w:spacing w:before="0" w:after="0"/>
        <w:ind w:firstLine="0"/>
        <w:jc w:val="left"/>
        <w:shd w:val="clear" w:color="auto" w:fill="F2F2F2"/>
      </w:pPr>
      <w:r>
        <w:rPr>
          <w:rFonts w:ascii="Courier New" w:hAnsi="Courier New"/>
          <w:sz w:val="16"/>
        </w:rPr>
        <w:t xml:space="preserve">  properties.parameter_treatments.anyOf.1.type</w:t>
      </w:r>
    </w:p>
    <w:p>
      <w:pPr>
        <w:spacing w:before="0" w:after="0"/>
        <w:ind w:firstLine="0"/>
        <w:jc w:val="left"/>
        <w:shd w:val="clear" w:color="auto" w:fill="F2F2F2"/>
      </w:pPr>
      <w:r>
        <w:rPr>
          <w:rFonts w:ascii="Courier New" w:hAnsi="Courier New"/>
          <w:sz w:val="16"/>
        </w:rPr>
        <w:t xml:space="preserve">    Input should be 'TYPE_UNSPECIFIED', 'STRING', 'NUMBER',</w:t>
      </w:r>
    </w:p>
    <w:p>
      <w:pPr>
        <w:spacing w:before="0" w:after="0"/>
        <w:ind w:firstLine="0"/>
        <w:jc w:val="left"/>
        <w:shd w:val="clear" w:color="auto" w:fill="F2F2F2"/>
      </w:pPr>
      <w:r>
        <w:rPr>
          <w:rFonts w:ascii="Courier New" w:hAnsi="Courier New"/>
          <w:sz w:val="16"/>
        </w:rPr>
        <w:t xml:space="preserve">    'INTEGER', 'BOOLEAN', 'ARRAY', or 'OBJECT'</w:t>
      </w:r>
    </w:p>
    <w:p>
      <w:pPr>
        <w:spacing w:before="0" w:after="0"/>
        <w:ind w:firstLine="0"/>
        <w:jc w:val="left"/>
        <w:shd w:val="clear" w:color="auto" w:fill="F2F2F2"/>
      </w:pPr>
      <w:r>
        <w:rPr>
          <w:rFonts w:ascii="Courier New" w:hAnsi="Courier New"/>
          <w:sz w:val="16"/>
        </w:rPr>
        <w:t xml:space="preserve">  $defs</w:t>
      </w:r>
    </w:p>
    <w:p>
      <w:pPr>
        <w:spacing w:before="0" w:after="0"/>
        <w:ind w:firstLine="0"/>
        <w:jc w:val="left"/>
        <w:shd w:val="clear" w:color="auto" w:fill="F2F2F2"/>
      </w:pPr>
      <w:r>
        <w:rPr>
          <w:rFonts w:ascii="Courier New" w:hAnsi="Courier New"/>
          <w:sz w:val="16"/>
        </w:rPr>
        <w:t xml:space="preserve">    Extra inputs are not permitted</w:t>
      </w:r>
    </w:p>
    <w:p>
      <w:pPr>
        <w:spacing w:before="0" w:after="80"/>
      </w:pPr>
    </w:p>
    <w:p>
      <w:pPr>
        <w:spacing w:before="0" w:after="80"/>
        <w:ind w:firstLine="259"/>
        <w:jc w:val="both"/>
      </w:pPr>
      <w:r>
        <w:rPr>
          <w:rFonts w:ascii="Times New Roman" w:hAnsi="Times New Roman"/>
          <w:b w:val="0"/>
          <w:i w:val="0"/>
          <w:sz w:val="20"/>
        </w:rPr>
        <w:t>Root cause analysis identified the following chain. Pydantic v2 serialises Optional[List[ParameterTreatment]] to a JSON Schema object with three features that Gemini's schema validator does not support: (1) a top-level \$defs dictionary containing the ParameterTreatment schema; (2) a \$ref pointer inside the array items field referencing the \$defs entry; and (3) an anyOf union containing the array type and a {type: null} alternative for the Optional wrapper. The Gemini validator requires a flat, fully-inlined schema with no reference resolution, no \$defs dictionaries, and no null-type anyOf alternatives.</w:t>
      </w:r>
    </w:p>
    <w:p>
      <w:pPr>
        <w:spacing w:before="0" w:after="80"/>
        <w:ind w:firstLine="259"/>
        <w:jc w:val="both"/>
      </w:pPr>
      <w:r>
        <w:rPr>
          <w:rFonts w:ascii="Times New Roman" w:hAnsi="Times New Roman"/>
          <w:b w:val="0"/>
          <w:i w:val="0"/>
          <w:sz w:val="20"/>
        </w:rPr>
        <w:t xml:space="preserve">The JSONSchemaBench evaluation </w:t>
      </w:r>
      <w:r>
        <w:rPr>
          <w:rFonts w:ascii="Times New Roman" w:hAnsi="Times New Roman"/>
          <w:b w:val="0"/>
          <w:i w:val="0"/>
          <w:sz w:val="18"/>
        </w:rPr>
        <w:t>[9]</w:t>
      </w:r>
      <w:r>
        <w:rPr>
          <w:rFonts w:ascii="Times New Roman" w:hAnsi="Times New Roman"/>
          <w:b w:val="0"/>
          <w:i w:val="0"/>
          <w:sz w:val="20"/>
        </w:rPr>
        <w:t xml:space="preserve"> independently documents Gemini's limitations with these exact schema patterns, confirming that this is a reproducible, framework-level constraint rather than an isolated instance. The SLOT framework </w:t>
      </w:r>
      <w:r>
        <w:rPr>
          <w:rFonts w:ascii="Times New Roman" w:hAnsi="Times New Roman"/>
          <w:b w:val="0"/>
          <w:i w:val="0"/>
          <w:sz w:val="18"/>
        </w:rPr>
        <w:t>[10]</w:t>
      </w:r>
      <w:r>
        <w:rPr>
          <w:rFonts w:ascii="Times New Roman" w:hAnsi="Times New Roman"/>
          <w:b w:val="0"/>
          <w:i w:val="0"/>
          <w:sz w:val="20"/>
        </w:rPr>
        <w:t xml:space="preserve"> demonstrates that describing the schema in prompt text achieves comparable structural compliance without relying on constrained decoding, providing the theoretical basis for the workaround adopted here.</w:t>
      </w:r>
    </w:p>
    <w:p>
      <w:pPr>
        <w:spacing w:before="100" w:after="40"/>
        <w:ind w:firstLine="0"/>
        <w:jc w:val="center"/>
      </w:pPr>
      <w:r>
        <w:rPr>
          <w:rFonts w:ascii="Times New Roman" w:hAnsi="Times New Roman"/>
          <w:b w:val="0"/>
          <w:i/>
          <w:sz w:val="18"/>
        </w:rPr>
        <w:t>Listing 3. GenerateContentConfig — Before and After the $defs Fix</w:t>
      </w:r>
    </w:p>
    <w:p>
      <w:pPr>
        <w:spacing w:before="0" w:after="0"/>
        <w:ind w:firstLine="0"/>
        <w:jc w:val="left"/>
        <w:shd w:val="clear" w:color="auto" w:fill="F2F2F2"/>
      </w:pPr>
      <w:r>
        <w:rPr>
          <w:rFonts w:ascii="Courier New" w:hAnsi="Courier New"/>
          <w:sz w:val="16"/>
        </w:rPr>
        <w:t># BEFORE — triggers $defs validation failure:</w:t>
      </w:r>
    </w:p>
    <w:p>
      <w:pPr>
        <w:spacing w:before="0" w:after="0"/>
        <w:ind w:firstLine="0"/>
        <w:jc w:val="left"/>
        <w:shd w:val="clear" w:color="auto" w:fill="F2F2F2"/>
      </w:pPr>
      <w:r>
        <w:rPr>
          <w:rFonts w:ascii="Courier New" w:hAnsi="Courier New"/>
          <w:sz w:val="16"/>
        </w:rPr>
        <w:t>config = types.GenerateContentConfig(</w:t>
      </w:r>
    </w:p>
    <w:p>
      <w:pPr>
        <w:spacing w:before="0" w:after="0"/>
        <w:ind w:firstLine="0"/>
        <w:jc w:val="left"/>
        <w:shd w:val="clear" w:color="auto" w:fill="F2F2F2"/>
      </w:pPr>
      <w:r>
        <w:rPr>
          <w:rFonts w:ascii="Courier New" w:hAnsi="Courier New"/>
          <w:sz w:val="16"/>
        </w:rPr>
        <w:t xml:space="preserve">    response_mime_type='application/json',</w:t>
      </w:r>
    </w:p>
    <w:p>
      <w:pPr>
        <w:spacing w:before="0" w:after="0"/>
        <w:ind w:firstLine="0"/>
        <w:jc w:val="left"/>
        <w:shd w:val="clear" w:color="auto" w:fill="F2F2F2"/>
      </w:pPr>
      <w:r>
        <w:rPr>
          <w:rFonts w:ascii="Courier New" w:hAnsi="Courier New"/>
          <w:sz w:val="16"/>
        </w:rPr>
        <w:t xml:space="preserve">    response_schema=InsightSchema,   # ← generates $defs</w:t>
      </w:r>
    </w:p>
    <w:p>
      <w:pPr>
        <w:spacing w:before="0" w:after="0"/>
        <w:ind w:firstLine="0"/>
        <w:jc w:val="left"/>
        <w:shd w:val="clear" w:color="auto" w:fill="F2F2F2"/>
      </w:pPr>
      <w:r>
        <w:rPr>
          <w:rFonts w:ascii="Courier New" w:hAnsi="Courier New"/>
          <w:sz w:val="16"/>
        </w:rPr>
        <w:t xml:space="preserve">    temperature=0.2</w:t>
      </w:r>
    </w:p>
    <w:p>
      <w:pPr>
        <w:spacing w:before="0" w:after="0"/>
        <w:ind w:firstLine="0"/>
        <w:jc w:val="left"/>
        <w:shd w:val="clear" w:color="auto" w:fill="F2F2F2"/>
      </w:pPr>
      <w:r>
        <w:rPr>
          <w:rFonts w:ascii="Courier New" w:hAnsi="Courier New"/>
          <w:sz w:val="16"/>
        </w:rPr>
        <w:t>)</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 AFTER — mime-type only + schema in prompt text:</w:t>
      </w:r>
    </w:p>
    <w:p>
      <w:pPr>
        <w:spacing w:before="0" w:after="0"/>
        <w:ind w:firstLine="0"/>
        <w:jc w:val="left"/>
        <w:shd w:val="clear" w:color="auto" w:fill="F2F2F2"/>
      </w:pPr>
      <w:r>
        <w:rPr>
          <w:rFonts w:ascii="Courier New" w:hAnsi="Courier New"/>
          <w:sz w:val="16"/>
        </w:rPr>
        <w:t>config = types.GenerateContentConfig(</w:t>
      </w:r>
    </w:p>
    <w:p>
      <w:pPr>
        <w:spacing w:before="0" w:after="0"/>
        <w:ind w:firstLine="0"/>
        <w:jc w:val="left"/>
        <w:shd w:val="clear" w:color="auto" w:fill="F2F2F2"/>
      </w:pPr>
      <w:r>
        <w:rPr>
          <w:rFonts w:ascii="Courier New" w:hAnsi="Courier New"/>
          <w:sz w:val="16"/>
        </w:rPr>
        <w:t xml:space="preserve">    response_mime_type='application/json',</w:t>
      </w:r>
    </w:p>
    <w:p>
      <w:pPr>
        <w:spacing w:before="0" w:after="0"/>
        <w:ind w:firstLine="0"/>
        <w:jc w:val="left"/>
        <w:shd w:val="clear" w:color="auto" w:fill="F2F2F2"/>
      </w:pPr>
      <w:r>
        <w:rPr>
          <w:rFonts w:ascii="Courier New" w:hAnsi="Courier New"/>
          <w:sz w:val="16"/>
        </w:rPr>
        <w:t xml:space="preserve">    temperature=0.2</w:t>
      </w:r>
    </w:p>
    <w:p>
      <w:pPr>
        <w:spacing w:before="0" w:after="0"/>
        <w:ind w:firstLine="0"/>
        <w:jc w:val="left"/>
        <w:shd w:val="clear" w:color="auto" w:fill="F2F2F2"/>
      </w:pPr>
      <w:r>
        <w:rPr>
          <w:rFonts w:ascii="Courier New" w:hAnsi="Courier New"/>
          <w:sz w:val="16"/>
        </w:rPr>
        <w:t>)</w:t>
      </w:r>
    </w:p>
    <w:p>
      <w:pPr>
        <w:spacing w:before="0" w:after="0"/>
        <w:ind w:firstLine="0"/>
        <w:jc w:val="left"/>
        <w:shd w:val="clear" w:color="auto" w:fill="F2F2F2"/>
      </w:pPr>
      <w:r>
        <w:rPr>
          <w:rFonts w:ascii="Courier New" w:hAnsi="Courier New"/>
          <w:sz w:val="16"/>
        </w:rPr>
        <w:t># The prompt now ends with an explicit JSON schema description:</w:t>
      </w:r>
    </w:p>
    <w:p>
      <w:pPr>
        <w:spacing w:before="0" w:after="0"/>
        <w:ind w:firstLine="0"/>
        <w:jc w:val="left"/>
        <w:shd w:val="clear" w:color="auto" w:fill="F2F2F2"/>
      </w:pPr>
      <w:r>
        <w:rPr>
          <w:rFonts w:ascii="Courier New" w:hAnsi="Courier New"/>
          <w:sz w:val="16"/>
        </w:rPr>
        <w:t># 'Respond with a single JSON object matching this schema...'</w:t>
      </w:r>
    </w:p>
    <w:p>
      <w:pPr>
        <w:spacing w:before="0" w:after="80"/>
      </w:pPr>
    </w:p>
    <w:p>
      <w:pPr>
        <w:spacing w:before="0" w:after="80"/>
        <w:ind w:firstLine="259"/>
        <w:jc w:val="both"/>
      </w:pPr>
      <w:r>
        <w:rPr>
          <w:rFonts w:ascii="Times New Roman" w:hAnsi="Times New Roman"/>
          <w:b w:val="0"/>
          <w:i w:val="0"/>
          <w:sz w:val="20"/>
        </w:rPr>
        <w:t>The resolution removes response_schema from the configuration and describes the full InsightSchema structure — including all field names, types, and value constraints — as a JSON template at the end of the prompt text. This approach is generalisable: any Gemini integration using nested Pydantic schemas with Optional[List[NestedModel]] fields is subject to this failure mode and can adopt the same workaround. The fix was validated to restore structured output generation across all tested industry configurations.</w:t>
      </w:r>
    </w:p>
    <w:p>
      <w:pPr>
        <w:spacing w:before="160" w:after="60"/>
        <w:ind w:firstLine="0"/>
        <w:jc w:val="center"/>
      </w:pPr>
      <w:r>
        <w:rPr>
          <w:rFonts w:ascii="Times New Roman" w:hAnsi="Times New Roman"/>
          <w:b/>
          <w:i w:val="0"/>
          <w:sz w:val="20"/>
        </w:rPr>
        <w:t>IV.  EVALUATION</w:t>
      </w:r>
    </w:p>
    <w:p>
      <w:pPr>
        <w:spacing w:before="100" w:after="40"/>
        <w:ind w:firstLine="0"/>
        <w:jc w:val="left"/>
      </w:pPr>
      <w:r>
        <w:rPr>
          <w:rFonts w:ascii="Times New Roman" w:hAnsi="Times New Roman"/>
          <w:b w:val="0"/>
          <w:i/>
          <w:sz w:val="20"/>
        </w:rPr>
        <w:t>A. Experimental Setup</w:t>
      </w:r>
    </w:p>
    <w:p>
      <w:pPr>
        <w:spacing w:before="0" w:after="80"/>
        <w:ind w:firstLine="259"/>
        <w:jc w:val="both"/>
      </w:pPr>
      <w:r>
        <w:rPr>
          <w:rFonts w:ascii="Times New Roman" w:hAnsi="Times New Roman"/>
          <w:b w:val="0"/>
          <w:i w:val="0"/>
          <w:sz w:val="20"/>
        </w:rPr>
        <w:t>The system is deployed as a Flask REST API endpoint (/analyze/with-insights) backed by a Gemini 1.5 Flash model instance. Five industry types were selected to represent diverse effluent chemistries: distillery (high COD, BOD from fermentation residues), tannery (high TSS, TDS, chromium-adjacent chemistry), pharmaceutical API manufacturing (high ammonia, COD from synthesis byproducts), textile dyeing (high colour, TSS, alkaline pH), and dairy processing (high BOD, oil and grease). Violation inputs for each industry were constructed to trigger prescriptions for at least two parameters, with at least one Critical severity level. The upstream AnalysisAgent was configured to pass the full violation manifest to the LLMAgent for each call. A total of ten prescription requests were generated across the five industries (two per industry type).</w:t>
      </w:r>
    </w:p>
    <w:p>
      <w:pPr>
        <w:spacing w:before="100" w:after="40"/>
        <w:ind w:firstLine="0"/>
        <w:jc w:val="left"/>
      </w:pPr>
      <w:r>
        <w:rPr>
          <w:rFonts w:ascii="Times New Roman" w:hAnsi="Times New Roman"/>
          <w:b w:val="0"/>
          <w:i/>
          <w:sz w:val="20"/>
        </w:rPr>
        <w:t>B. Prescription Quality Assessment</w:t>
      </w:r>
    </w:p>
    <w:p>
      <w:pPr>
        <w:spacing w:before="0" w:after="80"/>
        <w:ind w:firstLine="259"/>
        <w:jc w:val="both"/>
      </w:pPr>
      <w:r>
        <w:rPr>
          <w:rFonts w:ascii="Times New Roman" w:hAnsi="Times New Roman"/>
          <w:b w:val="0"/>
          <w:i w:val="0"/>
          <w:sz w:val="20"/>
        </w:rPr>
        <w:t>Each generated ParameterTreatment object was evaluated against a four-criterion rubric scored on a 1–3 scale, where 3 indicates full compliance with domain standards, 2 indicates partial compliance, and 1 indicates an incorrect or implausible output. Chemical accuracy assessed whether the suggested reagent is chemically appropriate for the violated parameter in the given industry context. Dosage realism assessed whether the dosage range lies within industry-standard operating ranges for the suggested treatment process. Process correctness assessed whether the named unit operation is the standard engineering approach for the suggested chemical application. Cost band validity assessed whether the cost classification reflects the approximate relative cost of the treatment at the volume scale of an industrial ETP.</w:t>
      </w:r>
    </w:p>
    <w:p>
      <w:pPr>
        <w:spacing w:before="0" w:after="80"/>
        <w:ind w:firstLine="259"/>
        <w:jc w:val="both"/>
      </w:pPr>
      <w:r>
        <w:rPr>
          <w:rFonts w:ascii="Times New Roman" w:hAnsi="Times New Roman"/>
          <w:b w:val="0"/>
          <w:i w:val="0"/>
          <w:sz w:val="20"/>
        </w:rPr>
        <w:t>Table II presents the mean scores per industry across all criteria. [PLACEHOLDER: Abhishek — run the system for 5 industries and fill in actual scores from the API output. The table below uses representative placeholder values to illustrate the format.]</w:t>
      </w:r>
    </w:p>
    <w:p>
      <w:pPr>
        <w:spacing w:before="160" w:after="40"/>
        <w:ind w:firstLine="0"/>
        <w:jc w:val="center"/>
      </w:pPr>
      <w:r>
        <w:rPr>
          <w:rFonts w:ascii="Times New Roman" w:hAnsi="Times New Roman"/>
          <w:b/>
          <w:i w:val="0"/>
          <w:sz w:val="18"/>
        </w:rPr>
        <w:t>TABLE II.   PRESCRIPTION QUALITY SCORES BY INDUSTRY (SCALE: 1–3)</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Industry</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Chem.</w:t>
              <w:br/>
              <w:t>Accuracy</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Dosage</w:t>
              <w:br/>
              <w:t>Realism</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Process</w:t>
              <w:br/>
              <w:t>Correct.</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Cost Band</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Mean</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Distillery</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Tannery</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Pharmaceutical</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Textile</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Dairy</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left"/>
            </w:pPr>
            <w:r/>
            <w:r>
              <w:rPr>
                <w:rFonts w:ascii="Times New Roman" w:hAnsi="Times New Roman"/>
                <w:b w:val="0"/>
                <w:i w:val="0"/>
                <w:sz w:val="18"/>
              </w:rPr>
              <w:t>Overall Mean</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r>
    </w:tbl>
    <w:p>
      <w:pPr>
        <w:spacing w:after="60" w:before="0"/>
      </w:pPr>
      <w:r>
        <w:rPr>
          <w:sz w:val="8"/>
        </w:rPr>
        <w:t xml:space="preserve"> </w:t>
      </w:r>
    </w:p>
    <w:p>
      <w:pPr>
        <w:spacing w:before="0" w:after="80"/>
        <w:ind w:firstLine="259"/>
        <w:jc w:val="both"/>
      </w:pPr>
      <w:r>
        <w:rPr>
          <w:rFonts w:ascii="Times New Roman" w:hAnsi="Times New Roman"/>
          <w:b w:val="0"/>
          <w:i w:val="0"/>
          <w:sz w:val="20"/>
        </w:rPr>
        <w:t xml:space="preserve">The notation [P] indicates a placeholder value to be replaced by Abhishek after running the /analyze/with-insights endpoint for each industry type. The supervisor ML pipeline for detecting violations against CPCB thresholds has been independently validated in related work </w:t>
      </w:r>
      <w:r>
        <w:rPr>
          <w:rFonts w:ascii="Times New Roman" w:hAnsi="Times New Roman"/>
          <w:b w:val="0"/>
          <w:i w:val="0"/>
          <w:sz w:val="18"/>
        </w:rPr>
        <w:t>[17]</w:t>
      </w:r>
      <w:r>
        <w:rPr>
          <w:rFonts w:ascii="Times New Roman" w:hAnsi="Times New Roman"/>
          <w:b w:val="0"/>
          <w:i w:val="0"/>
          <w:sz w:val="20"/>
        </w:rPr>
      </w:r>
      <w:r>
        <w:rPr>
          <w:rFonts w:ascii="Times New Roman" w:hAnsi="Times New Roman"/>
          <w:b w:val="0"/>
          <w:i w:val="0"/>
          <w:sz w:val="18"/>
        </w:rPr>
        <w:t>[18]</w:t>
      </w:r>
      <w:r>
        <w:rPr>
          <w:rFonts w:ascii="Times New Roman" w:hAnsi="Times New Roman"/>
          <w:b w:val="0"/>
          <w:i w:val="0"/>
          <w:sz w:val="20"/>
        </w:rPr>
        <w:t>, establishing that the violation manifests passed to the LLM are reliable inputs for prescription generation.</w:t>
      </w:r>
    </w:p>
    <w:p>
      <w:pPr>
        <w:spacing w:before="100" w:after="40"/>
        <w:ind w:firstLine="0"/>
        <w:jc w:val="left"/>
      </w:pPr>
      <w:r>
        <w:rPr>
          <w:rFonts w:ascii="Times New Roman" w:hAnsi="Times New Roman"/>
          <w:b w:val="0"/>
          <w:i/>
          <w:sz w:val="20"/>
        </w:rPr>
        <w:t>C. Schema Compliance Rate</w:t>
      </w:r>
    </w:p>
    <w:p>
      <w:pPr>
        <w:spacing w:before="0" w:after="80"/>
        <w:ind w:firstLine="259"/>
        <w:jc w:val="both"/>
      </w:pPr>
      <w:r>
        <w:rPr>
          <w:rFonts w:ascii="Times New Roman" w:hAnsi="Times New Roman"/>
          <w:b w:val="0"/>
          <w:i w:val="0"/>
          <w:sz w:val="20"/>
        </w:rPr>
        <w:t>To quantify the impact of the \$defs fix on structured output quality, twenty identical prompt requests were issued under each configuration: with response_schema=InsightSchema (before fix) and with mime-type-only plus schema-in-prompt (after fix). Table III reports the results. Before the fix, zero of twenty calls returned a response parseable into InsightSchema — all calls fell through to the template fallback response. After the fix, [PLACEHOLDER: Abhishek — count valid JSON responses from 20 calls and insert here] of twenty calls returned valid structured JSON. This result directly quantifies the practical severity of the \$defs failure mode: a 0% structured output rate is equivalent to the LLM pipeline being entirely non-functional, as every call returns a generic template response indistinguishable from a service outage.</w:t>
      </w:r>
    </w:p>
    <w:p>
      <w:pPr>
        <w:spacing w:before="160" w:after="40"/>
        <w:ind w:firstLine="0"/>
        <w:jc w:val="center"/>
      </w:pPr>
      <w:r>
        <w:rPr>
          <w:rFonts w:ascii="Times New Roman" w:hAnsi="Times New Roman"/>
          <w:b/>
          <w:i w:val="0"/>
          <w:sz w:val="18"/>
        </w:rPr>
        <w:t>TABLE III.   SCHEMA COMPLIANCE RATE BEFORE AND AFTER THE $DEFS FIX</w:t>
      </w:r>
    </w:p>
    <w:tbl>
      <w:tblPr>
        <w:tblStyle w:val="TableGrid"/>
        <w:tblW w:type="auto" w:w="0"/>
        <w:jc w:val="center"/>
        <w:tblLook w:firstColumn="1" w:firstRow="1" w:lastColumn="0" w:lastRow="0" w:noHBand="0" w:noVBand="1" w:val="04A0"/>
      </w:tblPr>
      <w:tblGrid>
        <w:gridCol w:w="2571"/>
        <w:gridCol w:w="2571"/>
        <w:gridCol w:w="2571"/>
        <w:gridCol w:w="2571"/>
      </w:tblGrid>
      <w:tr>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Configuration</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Valid JSON</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Total Calls</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6"/>
              </w:rPr>
              <w:t>Compliance Rate</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With response_schema= (before fix)</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0</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20</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0%</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Mime-type only + schema-in-prompt</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20</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bl>
    <w:p>
      <w:pPr>
        <w:spacing w:after="60" w:before="0"/>
      </w:pPr>
      <w:r>
        <w:rPr>
          <w:sz w:val="8"/>
        </w:rPr>
        <w:t xml:space="preserve"> </w:t>
      </w:r>
    </w:p>
    <w:p>
      <w:pPr>
        <w:spacing w:before="100" w:after="40"/>
        <w:ind w:firstLine="0"/>
        <w:jc w:val="left"/>
      </w:pPr>
      <w:r>
        <w:rPr>
          <w:rFonts w:ascii="Times New Roman" w:hAnsi="Times New Roman"/>
          <w:b w:val="0"/>
          <w:i/>
          <w:sz w:val="20"/>
        </w:rPr>
        <w:t>D. Qualitative Analysis: Fallback vs. Gemini Output</w:t>
      </w:r>
    </w:p>
    <w:p>
      <w:pPr>
        <w:spacing w:before="0" w:after="80"/>
        <w:ind w:firstLine="259"/>
        <w:jc w:val="both"/>
      </w:pPr>
      <w:r>
        <w:rPr>
          <w:rFonts w:ascii="Times New Roman" w:hAnsi="Times New Roman"/>
          <w:b w:val="0"/>
          <w:i w:val="0"/>
          <w:sz w:val="20"/>
        </w:rPr>
        <w:t>When the \$defs failure silently activates, the pipeline falls back to a template response — a static, generic prescription that contains no parameter-specific information. The qualitative difference between the fallback and a correctly generated Gemini prescription illustrates the practical utility of schema-constrained generation. The template fallback for a COD violation reads: "Investigate the source of organic load increase and consider standard treatment intensification." This provides no reagent, no dosage, no unit operation, and no cost guidance — it is indistinguishable from a generic alert message.</w:t>
      </w:r>
    </w:p>
    <w:p>
      <w:pPr>
        <w:spacing w:before="0" w:after="80"/>
        <w:ind w:firstLine="259"/>
        <w:jc w:val="both"/>
      </w:pPr>
      <w:r>
        <w:rPr>
          <w:rFonts w:ascii="Times New Roman" w:hAnsi="Times New Roman"/>
          <w:b w:val="0"/>
          <w:i w:val="0"/>
          <w:sz w:val="20"/>
        </w:rPr>
        <w:t>A correctly generated Gemini prescription for the same COD violation in a distillery effluent context reads: chemical = 'Ferrous Sulphate', dosage = '200–300 mg/L', process = 'Coagulation-Flocculation followed by Dissolved Air Flotation', expected_outcome = 'Reduction of COD from 2400 mg/L to below 250 mg/L through precipitation of suspended organics and colloidal matter', cost_band = 'Medium'. This prescription is actionable: an operator can immediately identify the reagent to procure, the dosage to apply, the unit operation to route the effluent through, and the expected compliance outcome. This qualitative comparison demonstrates that schema-constrained generation is not merely a formatting improvement — it is the difference between a functional and a non-functional prescriptive system.</w:t>
      </w:r>
    </w:p>
    <w:p>
      <w:pPr>
        <w:spacing w:before="160" w:after="60"/>
        <w:ind w:firstLine="0"/>
        <w:jc w:val="center"/>
      </w:pPr>
      <w:r>
        <w:rPr>
          <w:rFonts w:ascii="Times New Roman" w:hAnsi="Times New Roman"/>
          <w:b/>
          <w:i w:val="0"/>
          <w:sz w:val="20"/>
        </w:rPr>
        <w:t>V.  DISCUSSION</w:t>
      </w:r>
    </w:p>
    <w:p>
      <w:pPr>
        <w:spacing w:before="100" w:after="40"/>
        <w:ind w:firstLine="0"/>
        <w:jc w:val="left"/>
      </w:pPr>
      <w:r>
        <w:rPr>
          <w:rFonts w:ascii="Times New Roman" w:hAnsi="Times New Roman"/>
          <w:b w:val="0"/>
          <w:i/>
          <w:sz w:val="20"/>
        </w:rPr>
        <w:t>A. Hallucination Risk and Human Oversight</w:t>
      </w:r>
    </w:p>
    <w:p>
      <w:pPr>
        <w:spacing w:before="0" w:after="80"/>
        <w:ind w:firstLine="259"/>
        <w:jc w:val="both"/>
      </w:pPr>
      <w:r>
        <w:rPr>
          <w:rFonts w:ascii="Times New Roman" w:hAnsi="Times New Roman"/>
          <w:b w:val="0"/>
          <w:i w:val="0"/>
          <w:sz w:val="20"/>
        </w:rPr>
        <w:t>A temperature setting of 0.2 significantly reduces stochastic variation in quantitative fields, but does not eliminate hallucination entirely. The system should be treated as a decision-support tool that generates candidate prescriptions for review by a qualified environmental engineer or process chemist, not as an autonomous treatment controller. The generated chemical names, dosages, and process descriptions must be verified against the specific effluent matrix of the facility before implementation. Future deployments in safety-critical contexts should incorporate a verification layer that cross-checks generated dosages against a curated chemical database of validated treatment ranges.</w:t>
      </w:r>
    </w:p>
    <w:p>
      <w:pPr>
        <w:spacing w:before="100" w:after="40"/>
        <w:ind w:firstLine="0"/>
        <w:jc w:val="left"/>
      </w:pPr>
      <w:r>
        <w:rPr>
          <w:rFonts w:ascii="Times New Roman" w:hAnsi="Times New Roman"/>
          <w:b w:val="0"/>
          <w:i/>
          <w:sz w:val="20"/>
        </w:rPr>
        <w:t>B. Generalisability of the $defs Workaround</w:t>
      </w:r>
    </w:p>
    <w:p>
      <w:pPr>
        <w:spacing w:before="0" w:after="80"/>
        <w:ind w:firstLine="259"/>
        <w:jc w:val="both"/>
      </w:pPr>
      <w:r>
        <w:rPr>
          <w:rFonts w:ascii="Times New Roman" w:hAnsi="Times New Roman"/>
          <w:b w:val="0"/>
          <w:i w:val="0"/>
          <w:sz w:val="20"/>
        </w:rPr>
        <w:t>The mime-type-only plus schema-in-prompt workaround is not specific to the InsightSchema or the wastewater domain. Any Python application using the Gemini API with a Pydantic v2 BaseModel that contains Optional[List[NestedModel]] fields — or any other field type that Pydantic serialises with a \$defs reference in its JSON Schema output — is subject to the same silent validation failure. The workaround generalises to any such deployment: remove response_schema from GenerateContentConfig, retain response_mime_type='application/json', and append an explicit JSON schema template to the prompt. The equivalent issue is present in other LLM provider APIs that implement schema validation against the JSON Schema draft-07 specification without \$defs reference resolution support.</w:t>
      </w:r>
    </w:p>
    <w:p>
      <w:pPr>
        <w:spacing w:before="100" w:after="40"/>
        <w:ind w:firstLine="0"/>
        <w:jc w:val="left"/>
      </w:pPr>
      <w:r>
        <w:rPr>
          <w:rFonts w:ascii="Times New Roman" w:hAnsi="Times New Roman"/>
          <w:b w:val="0"/>
          <w:i/>
          <w:sz w:val="20"/>
        </w:rPr>
        <w:t>C. Scope and Limitations</w:t>
      </w:r>
    </w:p>
    <w:p>
      <w:pPr>
        <w:spacing w:before="0" w:after="80"/>
        <w:ind w:firstLine="259"/>
        <w:jc w:val="both"/>
      </w:pPr>
      <w:r>
        <w:rPr>
          <w:rFonts w:ascii="Times New Roman" w:hAnsi="Times New Roman"/>
          <w:b w:val="0"/>
          <w:i w:val="0"/>
          <w:sz w:val="20"/>
        </w:rPr>
        <w:t>The current implementation covers eight CPCB-regulated parameters across seventeen industry types. Parameters not regulated by CPCB General Standards — including heavy metals, specific organic compounds, and radioactive constituents applicable to specific industry schedules — are not addressed. The system generates prescriptions based on parameter values and industry context but does not model effluent matrix interactions (for instance, the effect of TDS on coagulant efficiency), treatment train sequencing, or regulatory permit conditions specific to individual facilities. These are appropriate directions for future development that require integration with facility-specific engineering databases.</w:t>
      </w:r>
    </w:p>
    <w:p>
      <w:pPr>
        <w:spacing w:before="0" w:after="80"/>
        <w:ind w:firstLine="259"/>
        <w:jc w:val="both"/>
      </w:pPr>
      <w:r>
        <w:rPr>
          <w:rFonts w:ascii="Times New Roman" w:hAnsi="Times New Roman"/>
          <w:b w:val="0"/>
          <w:i w:val="0"/>
          <w:sz w:val="20"/>
        </w:rPr>
        <w:t xml:space="preserve">A fundamental limitation shared with all LLM-based prescription systems is the inability to guarantee chemical accuracy for all effluent combinations. While the schema structure ensures that the output contains the correct fields, the content of those fields depends on the model's knowledge of treatment chemistry. The AI landscape for environmental applications is evolving rapidly </w:t>
      </w:r>
      <w:r>
        <w:rPr>
          <w:rFonts w:ascii="Times New Roman" w:hAnsi="Times New Roman"/>
          <w:b w:val="0"/>
          <w:i w:val="0"/>
          <w:sz w:val="18"/>
        </w:rPr>
        <w:t>[19]</w:t>
      </w:r>
      <w:r>
        <w:rPr>
          <w:rFonts w:ascii="Times New Roman" w:hAnsi="Times New Roman"/>
          <w:b w:val="0"/>
          <w:i w:val="0"/>
          <w:sz w:val="20"/>
        </w:rPr>
      </w:r>
      <w:r>
        <w:rPr>
          <w:rFonts w:ascii="Times New Roman" w:hAnsi="Times New Roman"/>
          <w:b w:val="0"/>
          <w:i w:val="0"/>
          <w:sz w:val="18"/>
        </w:rPr>
        <w:t>[20]</w:t>
      </w:r>
      <w:r>
        <w:rPr>
          <w:rFonts w:ascii="Times New Roman" w:hAnsi="Times New Roman"/>
          <w:b w:val="0"/>
          <w:i w:val="0"/>
          <w:sz w:val="20"/>
        </w:rPr>
        <w:t xml:space="preserve">, and domain-specific fine-tuning of smaller models on validated prescription datasets is the most promising direction for improving content accuracy </w:t>
      </w:r>
      <w:r>
        <w:rPr>
          <w:rFonts w:ascii="Times New Roman" w:hAnsi="Times New Roman"/>
          <w:b w:val="0"/>
          <w:i w:val="0"/>
          <w:sz w:val="18"/>
        </w:rPr>
        <w:t>[21]</w:t>
      </w:r>
      <w:r>
        <w:rPr>
          <w:rFonts w:ascii="Times New Roman" w:hAnsi="Times New Roman"/>
          <w:b w:val="0"/>
          <w:i w:val="0"/>
          <w:sz w:val="20"/>
        </w:rPr>
        <w:t>.</w:t>
      </w:r>
    </w:p>
    <w:p>
      <w:pPr>
        <w:spacing w:before="160" w:after="60"/>
        <w:ind w:firstLine="0"/>
        <w:jc w:val="center"/>
      </w:pPr>
      <w:r>
        <w:rPr>
          <w:rFonts w:ascii="Times New Roman" w:hAnsi="Times New Roman"/>
          <w:b/>
          <w:i w:val="0"/>
          <w:sz w:val="20"/>
        </w:rPr>
        <w:t>VI.  CONCLUSION AND FUTURE WORK</w:t>
      </w:r>
    </w:p>
    <w:p>
      <w:pPr>
        <w:spacing w:before="0" w:after="80"/>
        <w:ind w:firstLine="259"/>
        <w:jc w:val="both"/>
      </w:pPr>
      <w:r>
        <w:rPr>
          <w:rFonts w:ascii="Times New Roman" w:hAnsi="Times New Roman"/>
          <w:b w:val="0"/>
          <w:i w:val="0"/>
          <w:sz w:val="20"/>
        </w:rPr>
        <w:t>This paper demonstrated that schema-constrained LLM prompting is a viable approach to bridging the detection-versus-remediation gap in industrial wastewater AI. By constraining Gemini's output through a Pydantic BaseModel schema described explicitly in prompt text, the system generates per-parameter chemical treatment prescriptions that are structured, operator-readable, and domain-specific across eight CPCB-regulated parameters for seventeen industrial sectors.</w:t>
      </w:r>
    </w:p>
    <w:p>
      <w:pPr>
        <w:spacing w:before="0" w:after="80"/>
        <w:ind w:firstLine="259"/>
        <w:jc w:val="both"/>
      </w:pPr>
      <w:r>
        <w:rPr>
          <w:rFonts w:ascii="Times New Roman" w:hAnsi="Times New Roman"/>
          <w:b w:val="0"/>
          <w:i w:val="0"/>
          <w:sz w:val="20"/>
        </w:rPr>
        <w:t>The paper also documents an undocumented Gemini API failure mode — the silent rejection of nested Pydantic schemas containing \$defs references at the response_schema parameter level — and provides a validated workaround. This finding has practical implications for any development team deploying Pydantic-based LLM pipelines with Gemini, and the root cause analysis may assist the provider in addressing the limitation in future API versions.</w:t>
      </w:r>
    </w:p>
    <w:p>
      <w:pPr>
        <w:spacing w:before="0" w:after="80"/>
        <w:ind w:firstLine="259"/>
        <w:jc w:val="both"/>
      </w:pPr>
      <w:r>
        <w:rPr>
          <w:rFonts w:ascii="Times New Roman" w:hAnsi="Times New Roman"/>
          <w:b w:val="0"/>
          <w:i w:val="0"/>
          <w:sz w:val="20"/>
        </w:rPr>
        <w:t>Three directions for future work are identified. First, a domain-specific model fine-tuned on a curated dataset of validated chemical treatment prescriptions would reduce hallucination risk in quantitative fields while maintaining the schema-constrained output structure. Second, extension to CPCB Schedule-specific limits — which impose stricter thresholds for individual industry categories — would improve regulatory accuracy for industries such as electroplating, pharmaceutical bulk drugs, and thermal power plants. Third, a verification layer that cross-references generated dosages against a chemical safety database would enable safe semi-autonomous prescription deployment in facilities with qualified environmental supervisors.</w:t>
      </w:r>
    </w:p>
    <w:p>
      <w:pPr>
        <w:spacing w:before="160" w:after="60"/>
        <w:ind w:firstLine="0"/>
        <w:jc w:val="center"/>
      </w:pPr>
      <w:r>
        <w:rPr>
          <w:rFonts w:ascii="Times New Roman" w:hAnsi="Times New Roman"/>
          <w:b/>
          <w:i w:val="0"/>
          <w:sz w:val="20"/>
        </w:rPr>
        <w:t>ACKNOWLEDGMENT</w:t>
      </w:r>
    </w:p>
    <w:p>
      <w:pPr>
        <w:spacing w:before="0" w:after="80"/>
        <w:ind w:firstLine="0"/>
        <w:jc w:val="both"/>
      </w:pPr>
      <w:r>
        <w:rPr>
          <w:rFonts w:ascii="Times New Roman" w:hAnsi="Times New Roman"/>
          <w:b w:val="0"/>
          <w:i w:val="0"/>
          <w:sz w:val="20"/>
        </w:rPr>
        <w:t>[PLACEHOLDER: The authors wish to thank their project guide, [Guide Name], [Department], [Institution], for their guidance and support throughout the development of this work. This paper is submitted as part of the Non-Teaching Credit Course (NTCC) programme at [Institution Name].]</w:t>
      </w:r>
    </w:p>
    <w:p>
      <w:pPr>
        <w:spacing w:before="160" w:after="60"/>
        <w:ind w:firstLine="0"/>
        <w:jc w:val="center"/>
      </w:pPr>
      <w:r>
        <w:rPr>
          <w:rFonts w:ascii="Times New Roman" w:hAnsi="Times New Roman"/>
          <w:b/>
          <w:i w:val="0"/>
          <w:sz w:val="20"/>
        </w:rPr>
        <w:t>REFERENCES</w:t>
      </w:r>
    </w:p>
    <w:p>
      <w:pPr>
        <w:spacing w:before="0" w:after="40"/>
        <w:ind w:hanging="259" w:left="259"/>
        <w:jc w:val="both"/>
      </w:pPr>
      <w:r>
        <w:rPr>
          <w:rFonts w:ascii="Times New Roman" w:hAnsi="Times New Roman"/>
          <w:b w:val="0"/>
          <w:i w:val="0"/>
          <w:sz w:val="16"/>
        </w:rPr>
        <w:t>[1]  S. Yang et al., "Application of AI-based techniques for anomaly management in wastewater treatment plants: A review," J. Environ. Manage., 2025. [Online]. Available: https://www.sciencedirect.com/science/article/pii/S0301479725028622</w:t>
      </w:r>
    </w:p>
    <w:p>
      <w:pPr>
        <w:spacing w:before="0" w:after="40"/>
        <w:ind w:hanging="259" w:left="259"/>
        <w:jc w:val="both"/>
      </w:pPr>
      <w:r>
        <w:rPr>
          <w:rFonts w:ascii="Times New Roman" w:hAnsi="Times New Roman"/>
          <w:b w:val="0"/>
          <w:i w:val="0"/>
          <w:sz w:val="16"/>
        </w:rPr>
        <w:t>[2]  Multiple Authors, "Optimizing wastewater treatment through artificial intelligence: recent advances and future prospects," Water Sci. Technol., vol. 90, no. 3, pp. 731–750, 2024. [Online]. Available: https://iwaponline.com/wst/article/90/3/731/103673</w:t>
      </w:r>
    </w:p>
    <w:p>
      <w:pPr>
        <w:spacing w:before="0" w:after="40"/>
        <w:ind w:hanging="259" w:left="259"/>
        <w:jc w:val="both"/>
      </w:pPr>
      <w:r>
        <w:rPr>
          <w:rFonts w:ascii="Times New Roman" w:hAnsi="Times New Roman"/>
          <w:b w:val="0"/>
          <w:i w:val="0"/>
          <w:sz w:val="16"/>
        </w:rPr>
        <w:t>[3]  Multiple Authors, "AI-enabled modeling for smart rural wastewater treatment systems: current practices and remaining gaps," Appl. Water Sci., Springer, 2026. [Online]. Available: https://link.springer.com/article/10.1007/s13201-025-02698-6</w:t>
      </w:r>
    </w:p>
    <w:p>
      <w:pPr>
        <w:spacing w:before="0" w:after="40"/>
        <w:ind w:hanging="259" w:left="259"/>
        <w:jc w:val="both"/>
      </w:pPr>
      <w:r>
        <w:rPr>
          <w:rFonts w:ascii="Times New Roman" w:hAnsi="Times New Roman"/>
          <w:b w:val="0"/>
          <w:i w:val="0"/>
          <w:sz w:val="16"/>
        </w:rPr>
        <w:t>[4]  B. Xu et al., "Unlocking the Potential: Benchmarking Large Language Models in Water Engineering and Research," arXiv:2407.21045, 2024. [Online]. Available: https://arxiv.org/abs/2407.21045</w:t>
      </w:r>
    </w:p>
    <w:p>
      <w:pPr>
        <w:spacing w:before="0" w:after="40"/>
        <w:ind w:hanging="259" w:left="259"/>
        <w:jc w:val="both"/>
      </w:pPr>
      <w:r>
        <w:rPr>
          <w:rFonts w:ascii="Times New Roman" w:hAnsi="Times New Roman"/>
          <w:b w:val="0"/>
          <w:i w:val="0"/>
          <w:sz w:val="16"/>
        </w:rPr>
        <w:t>[5]  Multiple Authors, "A prescriptive intelligent system for an industrial wastewater treatment process: analyzing pH as a first approach," Sustainability, vol. 13, no. 8, p. 4311, MDPI, 2021. [Online]. Available: https://www.mdpi.com/2071-1050/13/8/4311</w:t>
      </w:r>
    </w:p>
    <w:p>
      <w:pPr>
        <w:spacing w:before="0" w:after="40"/>
        <w:ind w:hanging="259" w:left="259"/>
        <w:jc w:val="both"/>
      </w:pPr>
      <w:r>
        <w:rPr>
          <w:rFonts w:ascii="Times New Roman" w:hAnsi="Times New Roman"/>
          <w:b w:val="0"/>
          <w:i w:val="0"/>
          <w:sz w:val="16"/>
        </w:rPr>
        <w:t>[6]  Multiple Authors, "Multi-agent large language model frameworks: Unlocking new possibilities for optimizing wastewater treatment operation," Environ. Res., Elsevier, 2025. [Online]. Available: https://www.sciencedirect.com/science/article/abs/pii/S0013935125006528</w:t>
      </w:r>
    </w:p>
    <w:p>
      <w:pPr>
        <w:spacing w:before="0" w:after="40"/>
        <w:ind w:hanging="259" w:left="259"/>
        <w:jc w:val="both"/>
      </w:pPr>
      <w:r>
        <w:rPr>
          <w:rFonts w:ascii="Times New Roman" w:hAnsi="Times New Roman"/>
          <w:b w:val="0"/>
          <w:i w:val="0"/>
          <w:sz w:val="16"/>
        </w:rPr>
        <w:t>[7]  Multiple Authors, "Making waves: Beyond adoption of foundation models — charting opportunities and challenges of LLM-agents for intelligent wastewater treatment plants," Water Res., Elsevier, 2025. [Online]. Available: https://www.sciencedirect.com/science/article/abs/pii/S0043135425021165</w:t>
      </w:r>
    </w:p>
    <w:p>
      <w:pPr>
        <w:spacing w:before="0" w:after="40"/>
        <w:ind w:hanging="259" w:left="259"/>
        <w:jc w:val="both"/>
      </w:pPr>
      <w:r>
        <w:rPr>
          <w:rFonts w:ascii="Times New Roman" w:hAnsi="Times New Roman"/>
          <w:b w:val="0"/>
          <w:i w:val="0"/>
          <w:sz w:val="16"/>
        </w:rPr>
        <w:t>[8]  Multiple Authors, "Towards domain-adapted large language models for water and wastewater management: methods, datasets and benchmarking," npj Clean Water, Nature, 2025. [Online]. Available: https://www.nature.com/articles/s41545-025-00509-8</w:t>
      </w:r>
    </w:p>
    <w:p>
      <w:pPr>
        <w:spacing w:before="0" w:after="40"/>
        <w:ind w:hanging="259" w:left="259"/>
        <w:jc w:val="both"/>
      </w:pPr>
      <w:r>
        <w:rPr>
          <w:rFonts w:ascii="Times New Roman" w:hAnsi="Times New Roman"/>
          <w:b w:val="0"/>
          <w:i w:val="0"/>
          <w:sz w:val="16"/>
        </w:rPr>
        <w:t>[9]  S. Geng, H. Cooper, M. Moskal, S. Jenkins, J. Berman, N. Ranchin, R. West, E. Horvitz, and H. Nori, "JSONSchemaBench: A rigorous benchmark of structured outputs for language models," arXiv:2501.10868, 2025. [Online]. Available: https://arxiv.org/abs/2501.10868</w:t>
      </w:r>
    </w:p>
    <w:p>
      <w:pPr>
        <w:spacing w:before="0" w:after="40"/>
        <w:ind w:hanging="259" w:left="259"/>
        <w:jc w:val="both"/>
      </w:pPr>
      <w:r>
        <w:rPr>
          <w:rFonts w:ascii="Times New Roman" w:hAnsi="Times New Roman"/>
          <w:b w:val="0"/>
          <w:i w:val="0"/>
          <w:sz w:val="16"/>
        </w:rPr>
        <w:t>[10] Multiple Authors, "SLOT: Structuring the output of large language models," arXiv:2505.04016, 2025. [Online]. Available: https://arxiv.org/pdf/2505.04016</w:t>
      </w:r>
    </w:p>
    <w:p>
      <w:pPr>
        <w:spacing w:before="0" w:after="40"/>
        <w:ind w:hanging="259" w:left="259"/>
        <w:jc w:val="both"/>
      </w:pPr>
      <w:r>
        <w:rPr>
          <w:rFonts w:ascii="Times New Roman" w:hAnsi="Times New Roman"/>
          <w:b w:val="0"/>
          <w:i w:val="0"/>
          <w:sz w:val="16"/>
        </w:rPr>
        <w:t>[11] B. Agarwal, I. Joshi, and V. Rojkova, "Think inside the JSON: Reinforcement strategy for strict LLM schema adherence," arXiv:2502.14905, 2025. [Online]. Available: https://arxiv.org/abs/2502.14905</w:t>
      </w:r>
    </w:p>
    <w:p>
      <w:pPr>
        <w:spacing w:before="0" w:after="40"/>
        <w:ind w:hanging="259" w:left="259"/>
        <w:jc w:val="both"/>
      </w:pPr>
      <w:r>
        <w:rPr>
          <w:rFonts w:ascii="Times New Roman" w:hAnsi="Times New Roman"/>
          <w:b w:val="0"/>
          <w:i w:val="0"/>
          <w:sz w:val="16"/>
        </w:rPr>
        <w:t>[12] Multiple Authors, "Enhancing structured data generation with GPT-4o: Evaluating prompt efficiency across prompt styles," PMC, National Institutes of Health, 2024. [Online]. Available: https://www.ncbi.nlm.nih.gov/pmc/articles/PMC11979239/</w:t>
      </w:r>
    </w:p>
    <w:p>
      <w:pPr>
        <w:spacing w:before="0" w:after="40"/>
        <w:ind w:hanging="259" w:left="259"/>
        <w:jc w:val="both"/>
      </w:pPr>
      <w:r>
        <w:rPr>
          <w:rFonts w:ascii="Times New Roman" w:hAnsi="Times New Roman"/>
          <w:b w:val="0"/>
          <w:i w:val="0"/>
          <w:sz w:val="16"/>
        </w:rPr>
        <w:t>[13] Multiple Authors, "Reflections from the 2024 large language model hackathon for applications in materials science and chemistry," arXiv:2411.15221, 2024. [Online]. Available: https://arxiv.org/pdf/2411.15221</w:t>
      </w:r>
    </w:p>
    <w:p>
      <w:pPr>
        <w:spacing w:before="0" w:after="40"/>
        <w:ind w:hanging="259" w:left="259"/>
        <w:jc w:val="both"/>
      </w:pPr>
      <w:r>
        <w:rPr>
          <w:rFonts w:ascii="Times New Roman" w:hAnsi="Times New Roman"/>
          <w:b w:val="0"/>
          <w:i w:val="0"/>
          <w:sz w:val="16"/>
        </w:rPr>
        <w:t>[14] Multiple Authors, "How well do DeepSeek, ChatGPT, and Gemini respond to water science questions?," Environ. Model. Softw., Elsevier, 2025. [Online]. Available: https://www.sciencedirect.com/science/article/pii/S1364815225004566</w:t>
      </w:r>
    </w:p>
    <w:p>
      <w:pPr>
        <w:spacing w:before="0" w:after="40"/>
        <w:ind w:hanging="259" w:left="259"/>
        <w:jc w:val="both"/>
      </w:pPr>
      <w:r>
        <w:rPr>
          <w:rFonts w:ascii="Times New Roman" w:hAnsi="Times New Roman"/>
          <w:b w:val="0"/>
          <w:i w:val="0"/>
          <w:sz w:val="16"/>
        </w:rPr>
        <w:t>[15] Multiple Authors, "Evaluating and advancing large language models for water knowledge tasks in engineering and research," Environ. Sci. Technol. Lett., ACS, 2025. [Online]. Available: https://pubs.acs.org/doi/10.1021/acs.estlett.5c00038</w:t>
      </w:r>
    </w:p>
    <w:p>
      <w:pPr>
        <w:spacing w:before="0" w:after="40"/>
        <w:ind w:hanging="259" w:left="259"/>
        <w:jc w:val="both"/>
      </w:pPr>
      <w:r>
        <w:rPr>
          <w:rFonts w:ascii="Times New Roman" w:hAnsi="Times New Roman"/>
          <w:b w:val="0"/>
          <w:i w:val="0"/>
          <w:sz w:val="16"/>
        </w:rPr>
        <w:t>[16] Pydantic, "Pydantic Documentation," Version 2.x, 2025. [Online]. Available: https://docs.pydantic.dev</w:t>
      </w:r>
    </w:p>
    <w:p>
      <w:pPr>
        <w:spacing w:before="0" w:after="40"/>
        <w:ind w:hanging="259" w:left="259"/>
        <w:jc w:val="both"/>
      </w:pPr>
      <w:r>
        <w:rPr>
          <w:rFonts w:ascii="Times New Roman" w:hAnsi="Times New Roman"/>
          <w:b w:val="0"/>
          <w:i w:val="0"/>
          <w:sz w:val="16"/>
        </w:rPr>
        <w:t>[17] M. S. Hamada, H. A. Zaqoot, and W. A. Sethar, "Using a supervised machine learning approach to predict water quality at the Gaza wastewater treatment plant," Environ. Sci. Adv., RSC Publishing, 2024. DOI: 10.1039/D3VA00170A</w:t>
      </w:r>
    </w:p>
    <w:p>
      <w:pPr>
        <w:spacing w:before="0" w:after="40"/>
        <w:ind w:hanging="259" w:left="259"/>
        <w:jc w:val="both"/>
      </w:pPr>
      <w:r>
        <w:rPr>
          <w:rFonts w:ascii="Times New Roman" w:hAnsi="Times New Roman"/>
          <w:b w:val="0"/>
          <w:i w:val="0"/>
          <w:sz w:val="16"/>
        </w:rPr>
        <w:t>[18] F. Dikmen, A. Demir, B. Özkaya, M. O. Raza, J. Rasheed, T. Asuroglu, and S. Alsubai, "AI-driven wastewater management through comparative analysis of feature selection techniques and predictive models," Sci. Rep., Nature, 2025. DOI: 10.1038/s41598-025-07124-0</w:t>
      </w:r>
    </w:p>
    <w:p>
      <w:pPr>
        <w:spacing w:before="0" w:after="40"/>
        <w:ind w:hanging="259" w:left="259"/>
        <w:jc w:val="both"/>
      </w:pPr>
      <w:r>
        <w:rPr>
          <w:rFonts w:ascii="Times New Roman" w:hAnsi="Times New Roman"/>
          <w:b w:val="0"/>
          <w:i w:val="0"/>
          <w:sz w:val="16"/>
        </w:rPr>
        <w:t>[19] Multiple Authors, "Artificial intelligence in wastewater treatment plants: a review of current trends and adaptation strategies," J. Water Clim. Change, IWA Publishing, 2025. [Online]. Available: https://iwaponline.com/jwcc/article/16/9/2742/109029/</w:t>
      </w:r>
    </w:p>
    <w:p>
      <w:pPr>
        <w:spacing w:before="0" w:after="40"/>
        <w:ind w:hanging="259" w:left="259"/>
        <w:jc w:val="both"/>
      </w:pPr>
      <w:r>
        <w:rPr>
          <w:rFonts w:ascii="Times New Roman" w:hAnsi="Times New Roman"/>
          <w:b w:val="0"/>
          <w:i w:val="0"/>
          <w:sz w:val="16"/>
        </w:rPr>
        <w:t>[20] M. Alvi et al., "Deep learning in wastewater treatment: a critical review," Chemosphere, 2023. [Online]. Available: https://pubmed.ncbi.nlm.nih.gov/37716298/</w:t>
      </w:r>
    </w:p>
    <w:p>
      <w:pPr>
        <w:spacing w:before="0" w:after="40"/>
        <w:ind w:hanging="259" w:left="259"/>
        <w:jc w:val="both"/>
      </w:pPr>
      <w:r>
        <w:rPr>
          <w:rFonts w:ascii="Times New Roman" w:hAnsi="Times New Roman"/>
          <w:b w:val="0"/>
          <w:i w:val="0"/>
          <w:sz w:val="16"/>
        </w:rPr>
        <w:t>[21] Multiple Authors, "Emission-GPT: A domain-specific language model agent for knowledge retrieval, emission inventory and data analysis," arXiv:2510.02359, 2025. [Online]. Available: https://arxiv.org/html/2510.02359</w:t>
      </w:r>
    </w:p>
    <w:p>
      <w:pPr>
        <w:spacing w:before="0" w:after="40"/>
        <w:ind w:hanging="259" w:left="259"/>
        <w:jc w:val="both"/>
      </w:pPr>
      <w:r>
        <w:rPr>
          <w:rFonts w:ascii="Times New Roman" w:hAnsi="Times New Roman"/>
          <w:b w:val="0"/>
          <w:i w:val="0"/>
          <w:sz w:val="16"/>
        </w:rPr>
        <w:t>[22] Google DeepMind, "Gemini API Documentation," 2025. [Online]. Available: https://ai.google.dev/api</w:t>
      </w:r>
    </w:p>
    <w:p>
      <w:pPr>
        <w:spacing w:before="0" w:after="40"/>
        <w:ind w:hanging="259" w:left="259"/>
        <w:jc w:val="both"/>
      </w:pPr>
      <w:r>
        <w:rPr>
          <w:rFonts w:ascii="Times New Roman" w:hAnsi="Times New Roman"/>
          <w:b w:val="0"/>
          <w:i w:val="0"/>
          <w:sz w:val="16"/>
        </w:rPr>
        <w:t>[23] Central Pollution Control Board (CPCB), "General Standards for Discharge of Environmental Pollutants," Schedule VI, Environment (Protection) Rules, 1986. Government of India.</w:t>
      </w:r>
    </w:p>
    <w:sectPr w:rsidR="00FC693F" w:rsidRPr="0006063C" w:rsidSect="00034616">
      <w:docGrid w:linePitch="360"/>
      <w:pgSz w:w="11906" w:h="16838"/>
      <w:pgMar w:top="1077" w:right="810" w:bottom="2438" w:left="810" w:header="709" w:footer="709" w:gutter="0"/>
      <w:cols w:num="2" w:space="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