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762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source-logo-standal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7622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Franklin Gothic Medium" w:hAnsi="Franklin Gothic Medium"/>
          <w:b/>
          <w:color w:val="1E2247"/>
          <w:sz w:val="56"/>
        </w:rPr>
        <w:t>Acme Bank Analyst RFI Response</w:t>
      </w:r>
    </w:p>
    <w:p>
      <w:r>
        <w:rPr>
          <w:rFonts w:ascii="Franklin Gothic Medium" w:hAnsi="Franklin Gothic Medium"/>
          <w:color w:val="33384F"/>
          <w:sz w:val="26"/>
        </w:rPr>
        <w:t>Firstsource response covering liability, model strategy and innovation footprint.</w:t>
      </w:r>
    </w:p>
    <w:p>
      <w:r>
        <w:rPr>
          <w:rFonts w:ascii="Franklin Gothic Medium" w:hAnsi="Franklin Gothic Medium"/>
          <w:b/>
          <w:color w:val="DF6014"/>
          <w:sz w:val="22"/>
        </w:rPr>
        <w:t>3 questions answered.</w:t>
      </w:r>
    </w:p>
    <w:p/>
    <w:p>
      <w:r>
        <w:rPr>
          <w:rFonts w:ascii="Franklin Gothic Medium" w:hAnsi="Franklin Gothic Medium"/>
          <w:b/>
          <w:color w:val="1E2247"/>
          <w:sz w:val="22"/>
        </w:rPr>
        <w:t>Source documents</w:t>
      </w:r>
    </w:p>
    <w:p>
      <w:pPr>
        <w:pStyle w:val="ListBullet"/>
      </w:pPr>
      <w:r>
        <w:t>ClientRFI.docx</w:t>
      </w:r>
    </w:p>
    <w:p>
      <w:pPr>
        <w:pStyle w:val="ListBullet"/>
      </w:pPr>
      <w:r>
        <w:t>Capabilities.pptx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CF1F5"/>
          </w:tcPr>
          <w:p>
            <w:r>
              <w:rPr>
                <w:b/>
                <w:color w:val="DF6014"/>
                <w:sz w:val="36"/>
              </w:rPr>
              <w:t>32-38</w:t>
            </w:r>
          </w:p>
        </w:tc>
        <w:tc>
          <w:tcPr>
            <w:tcW w:type="dxa" w:w="2880"/>
            <w:shd w:val="clear" w:color="auto" w:fill="ECF1F5"/>
          </w:tcPr>
          <w:p>
            <w:r>
              <w:rPr>
                <w:b/>
                <w:color w:val="1E2247"/>
                <w:sz w:val="36"/>
              </w:rPr>
              <w:t>8</w:t>
            </w:r>
          </w:p>
        </w:tc>
        <w:tc>
          <w:tcPr>
            <w:tcW w:type="dxa" w:w="2880"/>
            <w:shd w:val="clear" w:color="auto" w:fill="ECF1F5"/>
          </w:tcPr>
          <w:p>
            <w:r>
              <w:rPr>
                <w:b/>
                <w:color w:val="DF6014"/>
                <w:sz w:val="36"/>
              </w:rPr>
              <w:t>&gt;99%</w:t>
            </w:r>
          </w:p>
        </w:tc>
      </w:tr>
      <w:tr>
        <w:tc>
          <w:tcPr>
            <w:tcW w:type="dxa" w:w="2880"/>
            <w:shd w:val="clear" w:color="auto" w:fill="ECF1F5"/>
          </w:tcPr>
          <w:p>
            <w:r>
              <w:rPr>
                <w:color w:val="33384F"/>
                <w:sz w:val="17"/>
              </w:rPr>
              <w:t>GenAI engagements</w:t>
            </w:r>
          </w:p>
        </w:tc>
        <w:tc>
          <w:tcPr>
            <w:tcW w:type="dxa" w:w="2880"/>
            <w:shd w:val="clear" w:color="auto" w:fill="ECF1F5"/>
          </w:tcPr>
          <w:p>
            <w:r>
              <w:rPr>
                <w:color w:val="33384F"/>
                <w:sz w:val="17"/>
              </w:rPr>
              <w:t>Innovation labs</w:t>
            </w:r>
          </w:p>
        </w:tc>
        <w:tc>
          <w:tcPr>
            <w:tcW w:type="dxa" w:w="2880"/>
            <w:shd w:val="clear" w:color="auto" w:fill="ECF1F5"/>
          </w:tcPr>
          <w:p>
            <w:r>
              <w:rPr>
                <w:color w:val="33384F"/>
                <w:sz w:val="17"/>
              </w:rPr>
              <w:t>Compliance accuracy</w:t>
            </w:r>
          </w:p>
        </w:tc>
      </w:tr>
      <w:tr>
        <w:tc>
          <w:tcPr>
            <w:tcW w:type="dxa" w:w="2880"/>
            <w:shd w:val="clear" w:color="auto" w:fill="ECF1F5"/>
          </w:tcPr>
          <w:p>
            <w:r>
              <w:rPr>
                <w:b/>
                <w:color w:val="1E2247"/>
                <w:sz w:val="36"/>
              </w:rPr>
              <w:t>25+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val="clear" w:color="auto" w:fill="ECF1F5"/>
          </w:tcPr>
          <w:p>
            <w:r>
              <w:rPr>
                <w:color w:val="33384F"/>
                <w:sz w:val="17"/>
              </w:rPr>
              <w:t>Years domain depth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sectPr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Overview</w:t>
      </w:r>
    </w:p>
    <w:p>
      <w:r>
        <w:t>Three questions answered across two source documents.</w:t>
      </w:r>
    </w:p>
    <w:p>
      <w:pPr>
        <w:pStyle w:val="ListBullet"/>
      </w:pPr>
      <w:r>
        <w:t>Kairos delivers Intelligence that Operates.</w:t>
      </w:r>
    </w:p>
    <w:p>
      <w:pPr>
        <w:pStyle w:val="ListBullet"/>
      </w:pPr>
      <w:r>
        <w:t>Governed Autonomy throughout.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CF1F5"/>
          </w:tcPr>
          <w:p>
            <w:r>
              <w:rPr>
                <w:b/>
                <w:color w:val="1E2247"/>
                <w:sz w:val="22"/>
              </w:rPr>
              <w:t>Key takeaway</w:t>
            </w:r>
          </w:p>
          <w:p>
            <w:r>
              <w:t>Outcome accountability is underwritten.</w:t>
            </w:r>
          </w:p>
        </w:tc>
      </w:tr>
    </w:tbl>
    <w:p/>
    <w:p>
      <w:pPr>
        <w:pStyle w:val="Heading1"/>
      </w:pPr>
      <w:r>
        <w:t>Responses</w:t>
      </w:r>
    </w:p>
    <w:p>
      <w:r>
        <w:t>Answers preserve the client's original numbering.</w:t>
      </w:r>
    </w:p>
    <w:p>
      <w:pPr>
        <w:pStyle w:val="Heading3"/>
      </w:pPr>
      <w:r>
        <w:t>Q1. Describe your liability and indemnification model</w:t>
      </w:r>
    </w:p>
    <w:p>
      <w:r>
        <w:t>Liability is capped at 12 months of service fees, direct damages only.</w:t>
      </w:r>
    </w:p>
    <w:p>
      <w:r>
        <w:t>Firstsource carries E&amp;O and cyber-liability insurance.</w:t>
      </w:r>
    </w:p>
    <w:p>
      <w:pPr>
        <w:pStyle w:val="Heading3"/>
      </w:pPr>
      <w:r>
        <w:t>Q7. Do you build foundational models?</w:t>
      </w:r>
    </w:p>
    <w:p>
      <w:r>
        <w:t>Firstsource does not build foundational LLMs. It builds domain-specific models.</w:t>
      </w:r>
    </w:p>
    <w:p>
      <w:pPr>
        <w:pStyle w:val="Heading3"/>
      </w:pPr>
      <w:r>
        <w:t>3.2(a). What is your innovation lab footprint?</w:t>
      </w:r>
    </w:p>
    <w:p>
      <w:r>
        <w:t>Eight labs and 95 FTE, with 12+ proprietary solutions in the past 12 months.</w:t>
      </w:r>
    </w:p>
    <w:p>
      <w:pPr>
        <w:pStyle w:val="Heading1"/>
      </w:pPr>
      <w:r>
        <w:t>Capabilities</w:t>
      </w:r>
    </w:p>
    <w:p>
      <w:r>
        <w:t>Portfolio detail.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247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320"/>
            <w:shd w:val="clear" w:color="auto" w:fill="1E2247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Generative AI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32-38 engagements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Agentic AI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16-22 engagements</w:t>
            </w:r>
          </w:p>
        </w:tc>
      </w:tr>
    </w:tbl>
    <w:p/>
    <w:p>
      <w:pPr>
        <w:pStyle w:val="Heading1"/>
      </w:pPr>
      <w:r>
        <w:t>Sources</w:t>
      </w:r>
    </w:p>
    <w:p>
      <w:r>
        <w:t>What each uploaded document contributed.</w:t>
      </w:r>
    </w:p>
    <w:p>
      <w:pPr>
        <w:pStyle w:val="ListBullet"/>
      </w:pPr>
      <w:r>
        <w:t>ClientRFI.docx - supplied the questions.</w:t>
      </w:r>
    </w:p>
    <w:p>
      <w:pPr>
        <w:pStyle w:val="ListBullet"/>
      </w:pPr>
      <w:r>
        <w:t>Capabilities.pptx - supporting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ranklin Gothic Medium" w:hAnsi="Franklin Gothic Medium"/>
        <w:color w:val="1E2247"/>
        <w:sz w:val="16"/>
      </w:rPr>
      <w:t>Copyright © 2026 Firstsource. All rights reserved.    |    We make it happen!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ranklin Gothic Medium" w:hAnsi="Franklin Gothic Medium" w:eastAsia="Franklin Gothic Medium"/>
      <w:color w:val="33384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Franklin Gothic Medium" w:hAnsi="Franklin Gothic Medium"/>
      <w:b/>
      <w:bCs/>
      <w:color w:val="1E224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Franklin Gothic Medium" w:hAnsi="Franklin Gothic Medium"/>
      <w:b/>
      <w:bCs/>
      <w:color w:val="1E224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Franklin Gothic Medium" w:hAnsi="Franklin Gothic Medium"/>
      <w:b/>
      <w:bCs/>
      <w:color w:val="2844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