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0"/>
        <w:jc w:val="left"/>
      </w:pPr>
      <w:r>
        <w:rPr>
          <w:rFonts w:ascii="Arial" w:cs="Arial" w:eastAsia="Arial" w:hAnsi="Arial"/>
          <w:color w:val="69747B"/>
          <w:sz w:val="25"/>
          <w:szCs w:val="25"/>
        </w:rPr>
        <w:t xml:space="preserve">International Sustainable Procurement and Responsible Operations Group Limited</w:t>
      </w:r>
    </w:p>
    <w:p>
      <w:pPr>
        <w:spacing w:before="2381"/>
      </w:pPr>
      <w:r>
        <w:rPr>
          <w:sz w:val="2"/>
          <w:szCs w:val="2"/>
        </w:rPr>
        <w:t xml:space="preserve"> </w:t>
      </w:r>
    </w:p>
    <w:p>
      <w:pPr>
        <w:spacing w:after="140"/>
        <w:jc w:val="left"/>
      </w:pPr>
      <w:r>
        <w:rPr>
          <w:rFonts w:ascii="Arial" w:cs="Arial" w:eastAsia="Arial" w:hAnsi="Arial"/>
          <w:b/>
          <w:bCs/>
          <w:color w:val="18232B"/>
          <w:sz w:val="64"/>
          <w:szCs w:val="64"/>
        </w:rPr>
        <w:t xml:space="preserve">Sustainable Procurement Policy</w:t>
      </w:r>
    </w:p>
    <w:p>
      <w:pPr>
        <w:pBdr>
          <w:bottom w:val="single" w:color="26323D" w:sz="6" w:space="1"/>
        </w:pBdr>
        <w:spacing w:after="360"/>
      </w:pPr>
    </w:p>
    <w:p>
      <w:pPr>
        <w:spacing w:before="900"/>
      </w:pPr>
      <w:r>
        <w:rPr>
          <w:sz w:val="2"/>
          <w:szCs w:val="2"/>
        </w:rPr>
        <w:t xml:space="preserve"> </w:t>
      </w:r>
    </w:p>
    <w:p>
      <w:pPr>
        <w:pBdr>
          <w:top w:val="single" w:color="D8DEE2" w:sz="4" w:space="1"/>
        </w:pBdr>
        <w:spacing w:after="220"/>
      </w:pPr>
    </w:p>
    <w:tbl>
      <w:tblPr>
        <w:tblW w:type="dxa" w:w="8498"/>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8498"/>
      </w:tblGrid>
      <w:tr>
        <w:trPr>
          <w:cantSplit/>
        </w:trPr>
        <w:tc>
          <w:tcPr>
            <w:tcW w:type="dxa" w:w="8498"/>
            <w:tcMar>
              <w:top w:type="dxa" w:w="120"/>
              <w:left w:type="dxa" w:w="120"/>
              <w:bottom w:type="dxa" w:w="120"/>
              <w:right w:type="dxa" w:w="120"/>
            </w:tcMar>
            <w:vAlign w:val="center"/>
          </w:tcPr>
          <w:p>
            <w:pPr>
              <w:spacing w:after="80"/>
            </w:pPr>
            <w:r>
              <w:rPr>
                <w:rFonts w:ascii="Arial" w:cs="Arial" w:eastAsia="Arial" w:hAnsi="Arial"/>
                <w:color w:val="69747B"/>
                <w:sz w:val="15"/>
                <w:szCs w:val="15"/>
              </w:rPr>
              <w:t xml:space="preserve">DOCUMENT NO.</w:t>
            </w:r>
          </w:p>
          <w:p>
            <w:pPr>
              <w:spacing w:after="180"/>
            </w:pPr>
            <w:r>
              <w:rPr>
                <w:rFonts w:ascii="Arial" w:cs="Arial" w:eastAsia="Arial" w:hAnsi="Arial"/>
                <w:color w:val="69747B"/>
                <w:sz w:val="20"/>
                <w:szCs w:val="20"/>
              </w:rPr>
              <w:t xml:space="preserve">ASC-ENV-001</w:t>
            </w:r>
          </w:p>
        </w:tc>
      </w:tr>
      <w:tr>
        <w:trPr>
          <w:cantSplit/>
        </w:trPr>
        <w:tc>
          <w:tcPr>
            <w:tcW w:type="dxa" w:w="8498"/>
            <w:tcMar>
              <w:top w:type="dxa" w:w="120"/>
              <w:left w:type="dxa" w:w="120"/>
              <w:bottom w:type="dxa" w:w="120"/>
              <w:right w:type="dxa" w:w="120"/>
            </w:tcMar>
            <w:vAlign w:val="center"/>
          </w:tcPr>
          <w:p>
            <w:pPr>
              <w:spacing w:after="80"/>
            </w:pPr>
            <w:r>
              <w:rPr>
                <w:rFonts w:ascii="Arial" w:cs="Arial" w:eastAsia="Arial" w:hAnsi="Arial"/>
                <w:color w:val="69747B"/>
                <w:sz w:val="15"/>
                <w:szCs w:val="15"/>
              </w:rPr>
              <w:t xml:space="preserve">EFFECTIVE DATE</w:t>
            </w:r>
          </w:p>
          <w:p>
            <w:pPr>
              <w:spacing w:after="180"/>
            </w:pPr>
            <w:r>
              <w:rPr>
                <w:rFonts w:ascii="Arial" w:cs="Arial" w:eastAsia="Arial" w:hAnsi="Arial"/>
                <w:color w:val="69747B"/>
                <w:sz w:val="20"/>
                <w:szCs w:val="20"/>
              </w:rPr>
              <w:t xml:space="preserve">2025-01-15</w:t>
            </w:r>
          </w:p>
        </w:tc>
      </w:tr>
      <w:tr>
        <w:trPr>
          <w:cantSplit/>
        </w:trPr>
        <w:tc>
          <w:tcPr>
            <w:tcW w:type="dxa" w:w="8498"/>
            <w:tcMar>
              <w:top w:type="dxa" w:w="120"/>
              <w:left w:type="dxa" w:w="120"/>
              <w:bottom w:type="dxa" w:w="120"/>
              <w:right w:type="dxa" w:w="120"/>
            </w:tcMar>
            <w:vAlign w:val="center"/>
          </w:tcPr>
          <w:p>
            <w:pPr>
              <w:spacing w:after="80"/>
            </w:pPr>
            <w:r>
              <w:rPr>
                <w:rFonts w:ascii="Arial" w:cs="Arial" w:eastAsia="Arial" w:hAnsi="Arial"/>
                <w:color w:val="69747B"/>
                <w:sz w:val="15"/>
                <w:szCs w:val="15"/>
              </w:rPr>
              <w:t xml:space="preserve">REVISION</w:t>
            </w:r>
          </w:p>
          <w:p>
            <w:pPr>
              <w:spacing w:after="180"/>
            </w:pPr>
            <w:r>
              <w:rPr>
                <w:rFonts w:ascii="Arial" w:cs="Arial" w:eastAsia="Arial" w:hAnsi="Arial"/>
                <w:color w:val="69747B"/>
                <w:sz w:val="20"/>
                <w:szCs w:val="20"/>
              </w:rPr>
              <w:t xml:space="preserve">01</w:t>
            </w:r>
          </w:p>
        </w:tc>
      </w:tr>
      <w:tr>
        <w:trPr>
          <w:cantSplit/>
        </w:trPr>
        <w:tc>
          <w:tcPr>
            <w:tcW w:type="dxa" w:w="8498"/>
            <w:tcMar>
              <w:top w:type="dxa" w:w="120"/>
              <w:left w:type="dxa" w:w="120"/>
              <w:bottom w:type="dxa" w:w="120"/>
              <w:right w:type="dxa" w:w="120"/>
            </w:tcMar>
            <w:vAlign w:val="center"/>
          </w:tcPr>
          <w:p>
            <w:pPr>
              <w:spacing w:after="80"/>
            </w:pPr>
            <w:r>
              <w:rPr>
                <w:rFonts w:ascii="Arial" w:cs="Arial" w:eastAsia="Arial" w:hAnsi="Arial"/>
                <w:color w:val="69747B"/>
                <w:sz w:val="15"/>
                <w:szCs w:val="15"/>
              </w:rPr>
              <w:t xml:space="preserve">NEXT REVIEW</w:t>
            </w:r>
          </w:p>
          <w:p>
            <w:pPr>
              <w:spacing w:after="180"/>
            </w:pPr>
            <w:r>
              <w:rPr>
                <w:rFonts w:ascii="Arial" w:cs="Arial" w:eastAsia="Arial" w:hAnsi="Arial"/>
                <w:color w:val="69747B"/>
                <w:sz w:val="20"/>
                <w:szCs w:val="20"/>
              </w:rPr>
              <w:t xml:space="preserve">2027-01-14</w:t>
            </w:r>
          </w:p>
        </w:tc>
      </w:tr>
    </w:tbl>
    <w:p>
      <w:r>
        <w:br w:type="page"/>
      </w:r>
    </w:p>
    <w:p>
      <w:pPr>
        <w:pStyle w:val="PolicyHeading"/>
        <w:spacing w:after="360"/>
        <w:jc w:val="left"/>
      </w:pPr>
      <w:r>
        <w:t xml:space="preserve">Contents</w:t>
      </w:r>
    </w:p>
    <w:p>
      <w:pPr>
        <w:pBdr>
          <w:bottom w:val="dotted" w:color="D8DEE2" w:sz="3" w:space="1"/>
        </w:pBdr>
        <w:spacing w:after="95" w:before="60"/>
      </w:pPr>
      <w:hyperlink w:history="1" w:anchor="standard-preface">
        <w:r>
          <w:rPr>
            <w:rFonts w:ascii="Arial" w:cs="Arial" w:eastAsia="Arial" w:hAnsi="Arial"/>
            <w:b/>
            <w:bCs/>
            <w:color w:val="26323D"/>
            <w:sz w:val="20"/>
            <w:szCs w:val="20"/>
          </w:rPr>
          <w:t xml:space="preserve">01   </w:t>
        </w:r>
        <w:r>
          <w:rPr>
            <w:rFonts w:ascii="Arial" w:cs="Arial" w:eastAsia="Arial" w:hAnsi="Arial"/>
            <w:color w:val="18232B"/>
            <w:sz w:val="20"/>
            <w:szCs w:val="20"/>
          </w:rPr>
          <w:t xml:space="preserve">Preface</w:t>
        </w:r>
      </w:hyperlink>
    </w:p>
    <w:p>
      <w:pPr>
        <w:pBdr>
          <w:bottom w:val="dotted" w:color="D8DEE2" w:sz="3" w:space="1"/>
        </w:pBdr>
        <w:spacing w:after="95" w:before="60"/>
      </w:pPr>
      <w:hyperlink w:history="1" w:anchor="standard-declaration">
        <w:r>
          <w:rPr>
            <w:rFonts w:ascii="Arial" w:cs="Arial" w:eastAsia="Arial" w:hAnsi="Arial"/>
            <w:b/>
            <w:bCs/>
            <w:color w:val="26323D"/>
            <w:sz w:val="20"/>
            <w:szCs w:val="20"/>
          </w:rPr>
          <w:t xml:space="preserve">02   </w:t>
        </w:r>
        <w:r>
          <w:rPr>
            <w:rFonts w:ascii="Arial" w:cs="Arial" w:eastAsia="Arial" w:hAnsi="Arial"/>
            <w:color w:val="18232B"/>
            <w:sz w:val="20"/>
            <w:szCs w:val="20"/>
          </w:rPr>
          <w:t xml:space="preserve">Policy Declaration</w:t>
        </w:r>
      </w:hyperlink>
    </w:p>
    <w:p>
      <w:pPr>
        <w:pBdr>
          <w:bottom w:val="dotted" w:color="D8DEE2" w:sz="3" w:space="1"/>
        </w:pBdr>
        <w:spacing w:after="95" w:before="60"/>
      </w:pPr>
      <w:hyperlink w:history="1" w:anchor="standard-scope">
        <w:r>
          <w:rPr>
            <w:rFonts w:ascii="Arial" w:cs="Arial" w:eastAsia="Arial" w:hAnsi="Arial"/>
            <w:b/>
            <w:bCs/>
            <w:color w:val="26323D"/>
            <w:sz w:val="20"/>
            <w:szCs w:val="20"/>
          </w:rPr>
          <w:t xml:space="preserve">03   </w:t>
        </w:r>
        <w:r>
          <w:rPr>
            <w:rFonts w:ascii="Arial" w:cs="Arial" w:eastAsia="Arial" w:hAnsi="Arial"/>
            <w:color w:val="18232B"/>
            <w:sz w:val="20"/>
            <w:szCs w:val="20"/>
          </w:rPr>
          <w:t xml:space="preserve">Scope</w:t>
        </w:r>
      </w:hyperlink>
    </w:p>
    <w:p>
      <w:pPr>
        <w:pBdr>
          <w:bottom w:val="dotted" w:color="D8DEE2" w:sz="3" w:space="1"/>
        </w:pBdr>
        <w:spacing w:after="95" w:before="60"/>
      </w:pPr>
      <w:hyperlink w:history="1" w:anchor="standard-focus">
        <w:r>
          <w:rPr>
            <w:rFonts w:ascii="Arial" w:cs="Arial" w:eastAsia="Arial" w:hAnsi="Arial"/>
            <w:b/>
            <w:bCs/>
            <w:color w:val="26323D"/>
            <w:sz w:val="20"/>
            <w:szCs w:val="20"/>
          </w:rPr>
          <w:t xml:space="preserve">04   </w:t>
        </w:r>
        <w:r>
          <w:rPr>
            <w:rFonts w:ascii="Arial" w:cs="Arial" w:eastAsia="Arial" w:hAnsi="Arial"/>
            <w:color w:val="18232B"/>
            <w:sz w:val="20"/>
            <w:szCs w:val="20"/>
          </w:rPr>
          <w:t xml:space="preserve">Key Focus Areas</w:t>
        </w:r>
      </w:hyperlink>
    </w:p>
    <w:p>
      <w:pPr>
        <w:pBdr>
          <w:bottom w:val="dotted" w:color="D8DEE2" w:sz="3" w:space="1"/>
        </w:pBdr>
        <w:spacing w:after="95" w:before="60"/>
      </w:pPr>
      <w:hyperlink w:history="1" w:anchor="standard-qualitative">
        <w:r>
          <w:rPr>
            <w:rFonts w:ascii="Arial" w:cs="Arial" w:eastAsia="Arial" w:hAnsi="Arial"/>
            <w:b/>
            <w:bCs/>
            <w:color w:val="26323D"/>
            <w:sz w:val="20"/>
            <w:szCs w:val="20"/>
          </w:rPr>
          <w:t xml:space="preserve">05   </w:t>
        </w:r>
        <w:r>
          <w:rPr>
            <w:rFonts w:ascii="Arial" w:cs="Arial" w:eastAsia="Arial" w:hAnsi="Arial"/>
            <w:color w:val="18232B"/>
            <w:sz w:val="20"/>
            <w:szCs w:val="20"/>
          </w:rPr>
          <w:t xml:space="preserve">Qualitative Objectives</w:t>
        </w:r>
      </w:hyperlink>
    </w:p>
    <w:p>
      <w:pPr>
        <w:pBdr>
          <w:bottom w:val="dotted" w:color="D8DEE2" w:sz="3" w:space="1"/>
        </w:pBdr>
        <w:spacing w:after="95" w:before="60"/>
      </w:pPr>
      <w:hyperlink w:history="1" w:anchor="standard-quantitative">
        <w:r>
          <w:rPr>
            <w:rFonts w:ascii="Arial" w:cs="Arial" w:eastAsia="Arial" w:hAnsi="Arial"/>
            <w:b/>
            <w:bCs/>
            <w:color w:val="26323D"/>
            <w:sz w:val="20"/>
            <w:szCs w:val="20"/>
          </w:rPr>
          <w:t xml:space="preserve">06   </w:t>
        </w:r>
        <w:r>
          <w:rPr>
            <w:rFonts w:ascii="Arial" w:cs="Arial" w:eastAsia="Arial" w:hAnsi="Arial"/>
            <w:color w:val="18232B"/>
            <w:sz w:val="20"/>
            <w:szCs w:val="20"/>
          </w:rPr>
          <w:t xml:space="preserve">Quantitative Targets</w:t>
        </w:r>
      </w:hyperlink>
    </w:p>
    <w:p>
      <w:pPr>
        <w:pBdr>
          <w:bottom w:val="dotted" w:color="D8DEE2" w:sz="3" w:space="1"/>
        </w:pBdr>
        <w:spacing w:after="95" w:before="60"/>
      </w:pPr>
      <w:hyperlink w:history="1" w:anchor="standard-sdg">
        <w:r>
          <w:rPr>
            <w:rFonts w:ascii="Arial" w:cs="Arial" w:eastAsia="Arial" w:hAnsi="Arial"/>
            <w:b/>
            <w:bCs/>
            <w:color w:val="26323D"/>
            <w:sz w:val="20"/>
            <w:szCs w:val="20"/>
          </w:rPr>
          <w:t xml:space="preserve">07   </w:t>
        </w:r>
        <w:r>
          <w:rPr>
            <w:rFonts w:ascii="Arial" w:cs="Arial" w:eastAsia="Arial" w:hAnsi="Arial"/>
            <w:color w:val="18232B"/>
            <w:sz w:val="20"/>
            <w:szCs w:val="20"/>
          </w:rPr>
          <w:t xml:space="preserve">SDG Alignment</w:t>
        </w:r>
      </w:hyperlink>
    </w:p>
    <w:p>
      <w:pPr>
        <w:pBdr>
          <w:bottom w:val="dotted" w:color="D8DEE2" w:sz="3" w:space="1"/>
        </w:pBdr>
        <w:spacing w:after="95" w:before="60"/>
      </w:pPr>
      <w:hyperlink w:history="1" w:anchor="standard-responsibilities">
        <w:r>
          <w:rPr>
            <w:rFonts w:ascii="Arial" w:cs="Arial" w:eastAsia="Arial" w:hAnsi="Arial"/>
            <w:b/>
            <w:bCs/>
            <w:color w:val="26323D"/>
            <w:sz w:val="20"/>
            <w:szCs w:val="20"/>
          </w:rPr>
          <w:t xml:space="preserve">08   </w:t>
        </w:r>
        <w:r>
          <w:rPr>
            <w:rFonts w:ascii="Arial" w:cs="Arial" w:eastAsia="Arial" w:hAnsi="Arial"/>
            <w:color w:val="18232B"/>
            <w:sz w:val="20"/>
            <w:szCs w:val="20"/>
          </w:rPr>
          <w:t xml:space="preserve">Roles &amp; Responsibilities</w:t>
        </w:r>
      </w:hyperlink>
    </w:p>
    <w:p>
      <w:pPr>
        <w:pBdr>
          <w:bottom w:val="dotted" w:color="D8DEE2" w:sz="3" w:space="1"/>
        </w:pBdr>
        <w:spacing w:after="95" w:before="60"/>
      </w:pPr>
      <w:hyperlink w:history="1" w:anchor="standard-monitoring">
        <w:r>
          <w:rPr>
            <w:rFonts w:ascii="Arial" w:cs="Arial" w:eastAsia="Arial" w:hAnsi="Arial"/>
            <w:b/>
            <w:bCs/>
            <w:color w:val="26323D"/>
            <w:sz w:val="20"/>
            <w:szCs w:val="20"/>
          </w:rPr>
          <w:t xml:space="preserve">09   </w:t>
        </w:r>
        <w:r>
          <w:rPr>
            <w:rFonts w:ascii="Arial" w:cs="Arial" w:eastAsia="Arial" w:hAnsi="Arial"/>
            <w:color w:val="18232B"/>
            <w:sz w:val="20"/>
            <w:szCs w:val="20"/>
          </w:rPr>
          <w:t xml:space="preserve">Monitoring, Reporting &amp; Transparency</w:t>
        </w:r>
      </w:hyperlink>
    </w:p>
    <w:p>
      <w:pPr>
        <w:pBdr>
          <w:bottom w:val="dotted" w:color="D8DEE2" w:sz="3" w:space="1"/>
        </w:pBdr>
        <w:spacing w:after="95" w:before="60"/>
      </w:pPr>
      <w:hyperlink w:history="1" w:anchor="standard-review">
        <w:r>
          <w:rPr>
            <w:rFonts w:ascii="Arial" w:cs="Arial" w:eastAsia="Arial" w:hAnsi="Arial"/>
            <w:b/>
            <w:bCs/>
            <w:color w:val="26323D"/>
            <w:sz w:val="20"/>
            <w:szCs w:val="20"/>
          </w:rPr>
          <w:t xml:space="preserve">10   </w:t>
        </w:r>
        <w:r>
          <w:rPr>
            <w:rFonts w:ascii="Arial" w:cs="Arial" w:eastAsia="Arial" w:hAnsi="Arial"/>
            <w:color w:val="18232B"/>
            <w:sz w:val="20"/>
            <w:szCs w:val="20"/>
          </w:rPr>
          <w:t xml:space="preserve">Review Mechanism &amp; Continuous Improvement</w:t>
        </w:r>
      </w:hyperlink>
    </w:p>
    <w:p>
      <w:r>
        <w:br w:type="page"/>
      </w:r>
    </w:p>
    <w:p>
      <w:pPr>
        <w:pStyle w:val="PolicyHeading"/>
        <w:pBdr>
          <w:bottom w:val="single" w:color="26323D" w:sz="4" w:space="1"/>
        </w:pBdr>
        <w:spacing w:after="180" w:before="260"/>
        <w:jc w:val="left"/>
      </w:pPr>
      <w:bookmarkStart w:name="standard-preface" w:id="1"/>
      <w:bookmarkEnd w:id="1"/>
      <w:r>
        <w:rPr>
          <w:rFonts w:ascii="Arial" w:cs="Arial" w:eastAsia="Arial" w:hAnsi="Arial"/>
          <w:color w:val="69747B"/>
          <w:sz w:val="20"/>
          <w:szCs w:val="20"/>
        </w:rPr>
        <w:t xml:space="preserve">01   </w:t>
      </w:r>
      <w:r>
        <w:rPr>
          <w:rFonts w:ascii="Arial" w:cs="Arial" w:eastAsia="Arial" w:hAnsi="Arial"/>
          <w:b/>
          <w:bCs/>
          <w:color w:val="18232B"/>
          <w:sz w:val="30"/>
          <w:szCs w:val="30"/>
        </w:rPr>
        <w:t xml:space="preserve">Preface</w:t>
      </w:r>
    </w:p>
    <w:p>
      <w:pPr>
        <w:pStyle w:val="PolicyBody"/>
        <w:spacing w:after="150" w:line="324"/>
        <w:jc w:val="both"/>
      </w:pPr>
      <w:r>
        <w:rPr>
          <w:rFonts w:ascii="Arial" w:cs="Arial" w:eastAsia="Arial" w:hAnsi="Arial"/>
          <w:sz w:val="21"/>
          <w:szCs w:val="21"/>
        </w:rPr>
        <w:t xml:space="preserve">Sustainable Procurement Policy provides a consistent framework for Acme Specialty Chemicals Pvt. Ltd. to define responsibilities, make decisions, and review performance across its activities and locations.</w:t>
      </w:r>
    </w:p>
    <w:p>
      <w:pPr>
        <w:pStyle w:val="PolicyBody"/>
        <w:spacing w:after="150" w:line="324"/>
        <w:jc w:val="both"/>
      </w:pPr>
      <w:r>
        <w:rPr>
          <w:rFonts w:ascii="Arial" w:cs="Arial" w:eastAsia="Arial" w:hAnsi="Arial"/>
          <w:sz w:val="21"/>
          <w:szCs w:val="21"/>
        </w:rPr>
        <w:t xml:space="preserve">Sustainable Procurement Policy provides a consistent framework for Acme Specialty Chemicals Pvt. Ltd. to define responsibilities, make decisions, and review performance across its activities and locations.</w:t>
      </w:r>
    </w:p>
    <w:p>
      <w:pPr>
        <w:pStyle w:val="PolicyBody"/>
        <w:spacing w:after="150" w:line="324"/>
        <w:jc w:val="both"/>
      </w:pPr>
      <w:r>
        <w:rPr>
          <w:rFonts w:ascii="Arial" w:cs="Arial" w:eastAsia="Arial" w:hAnsi="Arial"/>
          <w:sz w:val="21"/>
          <w:szCs w:val="21"/>
        </w:rPr>
        <w:t xml:space="preserve">Sustainable Procurement Policy provides a consistent framework for Acme Specialty Chemicals Pvt. Ltd. to define responsibilities, make decisions, and review performance across its activities and locations.</w:t>
      </w:r>
    </w:p>
    <w:p>
      <w:pPr>
        <w:pStyle w:val="PolicyBody"/>
        <w:spacing w:after="150" w:line="324"/>
        <w:jc w:val="both"/>
      </w:pPr>
      <w:r>
        <w:rPr>
          <w:rFonts w:ascii="Arial" w:cs="Arial" w:eastAsia="Arial" w:hAnsi="Arial"/>
          <w:sz w:val="21"/>
          <w:szCs w:val="21"/>
        </w:rPr>
        <w:t xml:space="preserve">Sustainable Procurement Policy provides a consistent framework for Acme Specialty Chemicals Pvt. Ltd. to define responsibilities, make decisions, and review performance across its activities and locations.</w:t>
      </w:r>
    </w:p>
    <w:p>
      <w:pPr>
        <w:pStyle w:val="PolicyBody"/>
        <w:spacing w:after="150" w:line="324"/>
        <w:jc w:val="both"/>
      </w:pPr>
      <w:r>
        <w:rPr>
          <w:rFonts w:ascii="Arial" w:cs="Arial" w:eastAsia="Arial" w:hAnsi="Arial"/>
          <w:sz w:val="21"/>
          <w:szCs w:val="21"/>
        </w:rPr>
        <w:t xml:space="preserve">Sustainable Procurement Policy provides a consistent framework for Acme Specialty Chemicals Pvt. Ltd. to define responsibilities, make decisions, and review performance across its activities and locations.</w:t>
      </w:r>
    </w:p>
    <w:p>
      <w:pPr>
        <w:pStyle w:val="PolicyBody"/>
        <w:spacing w:after="150" w:line="324"/>
        <w:jc w:val="both"/>
      </w:pPr>
      <w:r>
        <w:rPr>
          <w:rFonts w:ascii="Arial" w:cs="Arial" w:eastAsia="Arial" w:hAnsi="Arial"/>
          <w:sz w:val="21"/>
          <w:szCs w:val="21"/>
        </w:rPr>
        <w:t xml:space="preserve">Sustainable Procurement Policy provides a consistent framework for Acme Specialty Chemicals Pvt. Ltd. to define responsibilities, make decisions, and review performance across its activities and locations.</w:t>
      </w:r>
    </w:p>
    <w:p>
      <w:pPr>
        <w:pStyle w:val="PolicyBody"/>
        <w:spacing w:after="150" w:line="324"/>
        <w:jc w:val="both"/>
      </w:pPr>
      <w:r>
        <w:rPr>
          <w:rFonts w:ascii="Arial" w:cs="Arial" w:eastAsia="Arial" w:hAnsi="Arial"/>
          <w:sz w:val="21"/>
          <w:szCs w:val="21"/>
        </w:rPr>
        <w:t xml:space="preserve">Sustainable Procurement Policy provides a consistent framework for Acme Specialty Chemicals Pvt. Ltd. to define responsibilities, make decisions, and review performance across its activities and locations.</w:t>
      </w:r>
    </w:p>
    <w:p>
      <w:pPr>
        <w:pStyle w:val="PolicyBody"/>
        <w:spacing w:after="150" w:line="324"/>
        <w:jc w:val="both"/>
      </w:pPr>
      <w:r>
        <w:rPr>
          <w:rFonts w:ascii="Arial" w:cs="Arial" w:eastAsia="Arial" w:hAnsi="Arial"/>
          <w:sz w:val="21"/>
          <w:szCs w:val="21"/>
        </w:rPr>
        <w:t xml:space="preserve">Sustainable Procurement Policy provides a consistent framework for Acme Specialty Chemicals Pvt. Ltd. to define responsibilities, make decisions, and review performance across its activities and locations.</w:t>
      </w:r>
    </w:p>
    <w:p>
      <w:pPr>
        <w:spacing w:before="115"/>
      </w:pPr>
      <w:r>
        <w:rPr>
          <w:sz w:val="2"/>
          <w:szCs w:val="2"/>
        </w:rPr>
        <w:t xml:space="preserve"> </w:t>
      </w:r>
    </w:p>
    <w:p>
      <w:pPr>
        <w:pStyle w:val="PolicyHeading"/>
        <w:pBdr>
          <w:bottom w:val="single" w:color="26323D" w:sz="4" w:space="1"/>
        </w:pBdr>
        <w:spacing w:after="180" w:before="260"/>
        <w:jc w:val="left"/>
      </w:pPr>
      <w:bookmarkStart w:name="standard-declaration" w:id="1"/>
      <w:bookmarkEnd w:id="1"/>
      <w:r>
        <w:rPr>
          <w:rFonts w:ascii="Arial" w:cs="Arial" w:eastAsia="Arial" w:hAnsi="Arial"/>
          <w:color w:val="69747B"/>
          <w:sz w:val="20"/>
          <w:szCs w:val="20"/>
        </w:rPr>
        <w:t xml:space="preserve">02   </w:t>
      </w:r>
      <w:r>
        <w:rPr>
          <w:rFonts w:ascii="Arial" w:cs="Arial" w:eastAsia="Arial" w:hAnsi="Arial"/>
          <w:b/>
          <w:bCs/>
          <w:color w:val="18232B"/>
          <w:sz w:val="30"/>
          <w:szCs w:val="30"/>
        </w:rPr>
        <w:t xml:space="preserve">Policy Declaration</w:t>
      </w:r>
    </w:p>
    <w:p>
      <w:pPr>
        <w:pStyle w:val="PolicyBody"/>
        <w:spacing w:after="150" w:line="324"/>
        <w:jc w:val="both"/>
      </w:pPr>
      <w:r>
        <w:rPr>
          <w:rFonts w:ascii="Arial" w:cs="Arial" w:eastAsia="Arial" w:hAnsi="Arial"/>
          <w:sz w:val="21"/>
          <w:szCs w:val="21"/>
        </w:rPr>
        <w:t xml:space="preserve">Acme Specialty Chemicals affirms its commitment to implementing this Sustainable Procurement Policy in line with applicable requirements, proportionate controls, and regular management review.</w:t>
      </w:r>
    </w:p>
    <w:p>
      <w:pPr>
        <w:spacing w:before="115"/>
      </w:pPr>
      <w:r>
        <w:rPr>
          <w:sz w:val="2"/>
          <w:szCs w:val="2"/>
        </w:rPr>
        <w:t xml:space="preserve"> </w:t>
      </w:r>
    </w:p>
    <w:p>
      <w:pPr>
        <w:pStyle w:val="PolicyHeading"/>
        <w:pBdr>
          <w:bottom w:val="single" w:color="26323D" w:sz="4" w:space="1"/>
        </w:pBdr>
        <w:spacing w:after="180" w:before="260"/>
        <w:jc w:val="left"/>
      </w:pPr>
      <w:bookmarkStart w:name="standard-scope" w:id="1"/>
      <w:bookmarkEnd w:id="1"/>
      <w:r>
        <w:rPr>
          <w:rFonts w:ascii="Arial" w:cs="Arial" w:eastAsia="Arial" w:hAnsi="Arial"/>
          <w:color w:val="69747B"/>
          <w:sz w:val="20"/>
          <w:szCs w:val="20"/>
        </w:rPr>
        <w:t xml:space="preserve">03   </w:t>
      </w:r>
      <w:r>
        <w:rPr>
          <w:rFonts w:ascii="Arial" w:cs="Arial" w:eastAsia="Arial" w:hAnsi="Arial"/>
          <w:b/>
          <w:bCs/>
          <w:color w:val="18232B"/>
          <w:sz w:val="30"/>
          <w:szCs w:val="30"/>
        </w:rPr>
        <w:t xml:space="preserve">Scope</w:t>
      </w:r>
    </w:p>
    <w:p>
      <w:pPr>
        <w:pStyle w:val="PolicyBody"/>
        <w:spacing w:after="150" w:line="324"/>
        <w:jc w:val="both"/>
      </w:pPr>
      <w:r>
        <w:rPr>
          <w:rFonts w:ascii="Arial" w:cs="Arial" w:eastAsia="Arial" w:hAnsi="Arial"/>
          <w:sz w:val="21"/>
          <w:szCs w:val="21"/>
        </w:rPr>
        <w:t xml:space="preserve">This Sustainable Procurement Policy applies to the operations, workers, business relationships, and locations identified by Acme Specialty Chemicals Pvt. Ltd., including manufacturing, R&amp;D, warehousing, logistics, and corporate functions.</w:t>
      </w:r>
    </w:p>
    <w:tbl>
      <w:tblPr>
        <w:tblW w:type="dxa" w:w="8498"/>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2058"/>
        <w:gridCol w:w="4289"/>
        <w:gridCol w:w="2151"/>
      </w:tblGrid>
      <w:tr>
        <w:trPr>
          <w:cantSplit/>
          <w:tblHeader/>
        </w:trPr>
        <w:tc>
          <w:tcPr>
            <w:tcW w:type="dxa" w:w="2058"/>
            <w:tcBorders>
              <w:top w:val="single" w:color="D8DEE2" w:sz="5" w:space="1"/>
              <w:left w:val="single" w:color="D8DEE2" w:sz="5" w:space="1"/>
              <w:bottom w:val="single" w:color="D8DEE2" w:sz="5" w:space="1"/>
              <w:right w:val="single" w:color="D8DEE2" w:sz="5" w:space="1"/>
            </w:tcBorders>
            <w:shd w:fill="26323D" w:color="26323D" w:val="solid"/>
            <w:tcMar>
              <w:top w:type="dxa" w:w="120"/>
              <w:left w:type="dxa" w:w="120"/>
              <w:bottom w:type="dxa" w:w="120"/>
              <w:right w:type="dxa" w:w="120"/>
            </w:tcMar>
            <w:vAlign w:val="center"/>
          </w:tcPr>
          <w:p>
            <w:r>
              <w:rPr>
                <w:b/>
                <w:bCs/>
                <w:color w:val="FFFFFF"/>
                <w:sz w:val="17"/>
                <w:szCs w:val="17"/>
              </w:rPr>
              <w:t xml:space="preserve">Location / Unit</w:t>
            </w:r>
          </w:p>
        </w:tc>
        <w:tc>
          <w:tcPr>
            <w:tcW w:type="dxa" w:w="4289"/>
            <w:tcBorders>
              <w:top w:val="single" w:color="D8DEE2" w:sz="5" w:space="1"/>
              <w:left w:val="single" w:color="D8DEE2" w:sz="5" w:space="1"/>
              <w:bottom w:val="single" w:color="D8DEE2" w:sz="5" w:space="1"/>
              <w:right w:val="single" w:color="D8DEE2" w:sz="5" w:space="1"/>
            </w:tcBorders>
            <w:shd w:fill="26323D" w:color="26323D" w:val="solid"/>
            <w:tcMar>
              <w:top w:type="dxa" w:w="120"/>
              <w:left w:type="dxa" w:w="120"/>
              <w:bottom w:type="dxa" w:w="120"/>
              <w:right w:type="dxa" w:w="120"/>
            </w:tcMar>
            <w:vAlign w:val="center"/>
          </w:tcPr>
          <w:p>
            <w:r>
              <w:rPr>
                <w:b/>
                <w:bCs/>
                <w:color w:val="FFFFFF"/>
                <w:sz w:val="17"/>
                <w:szCs w:val="17"/>
              </w:rPr>
              <w:t xml:space="preserve">Address</w:t>
            </w:r>
          </w:p>
        </w:tc>
        <w:tc>
          <w:tcPr>
            <w:tcW w:type="dxa" w:w="2151"/>
            <w:tcBorders>
              <w:top w:val="single" w:color="D8DEE2" w:sz="5" w:space="1"/>
              <w:left w:val="single" w:color="D8DEE2" w:sz="5" w:space="1"/>
              <w:bottom w:val="single" w:color="D8DEE2" w:sz="5" w:space="1"/>
              <w:right w:val="single" w:color="D8DEE2" w:sz="5" w:space="1"/>
            </w:tcBorders>
            <w:shd w:fill="26323D" w:color="26323D" w:val="solid"/>
            <w:tcMar>
              <w:top w:type="dxa" w:w="120"/>
              <w:left w:type="dxa" w:w="120"/>
              <w:bottom w:type="dxa" w:w="120"/>
              <w:right w:type="dxa" w:w="120"/>
            </w:tcMar>
            <w:vAlign w:val="center"/>
          </w:tcPr>
          <w:p>
            <w:r>
              <w:rPr>
                <w:b/>
                <w:bCs/>
                <w:color w:val="FFFFFF"/>
                <w:sz w:val="17"/>
                <w:szCs w:val="17"/>
              </w:rPr>
              <w:t xml:space="preserve">Primary Function</w:t>
            </w:r>
          </w:p>
        </w:tc>
      </w:tr>
      <w:tr>
        <w:trPr>
          <w:cantSplit/>
        </w:trPr>
        <w:tc>
          <w:tcPr>
            <w:tcW w:type="dxa" w:w="2058"/>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bCs/>
                <w:sz w:val="17"/>
                <w:szCs w:val="17"/>
              </w:rPr>
              <w:t xml:space="preserve">Manesar Plant</w:t>
            </w:r>
          </w:p>
        </w:tc>
        <w:tc>
          <w:tcPr>
            <w:tcW w:type="dxa" w:w="4289"/>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Plot 14, Sector 4, IMT Manesar, Gurugram - 122051, Haryana, India</w:t>
            </w:r>
          </w:p>
        </w:tc>
        <w:tc>
          <w:tcPr>
            <w:tcW w:type="dxa" w:w="2151"/>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Manufacturing &amp; R&amp;D</w:t>
            </w:r>
          </w:p>
        </w:tc>
      </w:tr>
    </w:tbl>
    <w:p>
      <w:pPr>
        <w:spacing w:before="115"/>
      </w:pPr>
      <w:r>
        <w:rPr>
          <w:sz w:val="2"/>
          <w:szCs w:val="2"/>
        </w:rPr>
        <w:t xml:space="preserve"> </w:t>
      </w:r>
    </w:p>
    <w:p>
      <w:pPr>
        <w:pStyle w:val="PolicyHeading"/>
        <w:pBdr>
          <w:bottom w:val="single" w:color="26323D" w:sz="4" w:space="1"/>
        </w:pBdr>
        <w:spacing w:after="180" w:before="260"/>
        <w:jc w:val="left"/>
      </w:pPr>
      <w:bookmarkStart w:name="standard-focus" w:id="1"/>
      <w:bookmarkEnd w:id="1"/>
      <w:r>
        <w:rPr>
          <w:rFonts w:ascii="Arial" w:cs="Arial" w:eastAsia="Arial" w:hAnsi="Arial"/>
          <w:color w:val="69747B"/>
          <w:sz w:val="20"/>
          <w:szCs w:val="20"/>
        </w:rPr>
        <w:t xml:space="preserve">04   </w:t>
      </w:r>
      <w:r>
        <w:rPr>
          <w:rFonts w:ascii="Arial" w:cs="Arial" w:eastAsia="Arial" w:hAnsi="Arial"/>
          <w:b/>
          <w:bCs/>
          <w:color w:val="18232B"/>
          <w:sz w:val="30"/>
          <w:szCs w:val="30"/>
        </w:rPr>
        <w:t xml:space="preserve">Key Focus Areas</w:t>
      </w:r>
    </w:p>
    <w:tbl>
      <w:tblPr>
        <w:tblW w:type="dxa" w:w="8338"/>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CellSpacing w:type="dxa" w:w="80"/>
      </w:tblPr>
      <w:tblGrid>
        <w:gridCol w:w="4169"/>
        <w:gridCol w:w="4169"/>
      </w:tblGrid>
      <w:tr>
        <w:trPr>
          <w:cantSplit/>
        </w:trPr>
        <w:tc>
          <w:tcPr>
            <w:tcW w:type="dxa" w:w="4169"/>
            <w:tcBorders>
              <w:top w:val="single" w:color="D8DEE2" w:sz="5" w:space="1"/>
              <w:left w:val="single" w:color="D8DEE2" w:sz="5" w:space="1"/>
              <w:bottom w:val="single" w:color="D8DEE2" w:sz="5" w:space="1"/>
              <w:right w:val="single" w:color="D8DEE2" w:sz="5" w:space="1"/>
            </w:tcBorders>
            <w:tcMar>
              <w:top w:type="dxa" w:w="150"/>
              <w:left w:type="dxa" w:w="170"/>
              <w:bottom w:type="dxa" w:w="150"/>
              <w:right w:type="dxa" w:w="170"/>
            </w:tcMar>
            <w:vAlign w:val="center"/>
          </w:tcPr>
          <w:p>
            <w:pPr>
              <w:spacing w:after="70"/>
            </w:pPr>
            <w:r>
              <w:rPr>
                <w:rFonts w:ascii="Arial" w:cs="Arial" w:eastAsia="Arial" w:hAnsi="Arial"/>
                <w:color w:val="26323D"/>
                <w:sz w:val="20"/>
                <w:szCs w:val="20"/>
              </w:rPr>
              <w:t xml:space="preserve">01</w:t>
            </w:r>
            <w:r>
              <w:rPr>
                <w:rFonts w:ascii="Arial" w:cs="Arial" w:eastAsia="Arial" w:hAnsi="Arial"/>
                <w:b/>
                <w:bCs/>
                <w:color w:val="1D252B"/>
                <w:sz w:val="24"/>
                <w:szCs w:val="24"/>
              </w:rPr>
              <w:t xml:space="preserve">  Supplier Code of Conduct &amp; Onboarding</w:t>
            </w:r>
          </w:p>
        </w:tc>
        <w:tc>
          <w:tcPr>
            <w:tcW w:type="dxa" w:w="4169"/>
            <w:tcBorders>
              <w:top w:val="single" w:color="D8DEE2" w:sz="5" w:space="1"/>
              <w:left w:val="single" w:color="D8DEE2" w:sz="5" w:space="1"/>
              <w:bottom w:val="single" w:color="D8DEE2" w:sz="5" w:space="1"/>
              <w:right w:val="single" w:color="D8DEE2" w:sz="5" w:space="1"/>
            </w:tcBorders>
            <w:tcMar>
              <w:top w:type="dxa" w:w="150"/>
              <w:left w:type="dxa" w:w="170"/>
              <w:bottom w:type="dxa" w:w="150"/>
              <w:right w:type="dxa" w:w="170"/>
            </w:tcMar>
            <w:vAlign w:val="center"/>
          </w:tcPr>
          <w:p>
            <w:pPr>
              <w:spacing w:after="70"/>
            </w:pPr>
            <w:r>
              <w:rPr>
                <w:rFonts w:ascii="Arial" w:cs="Arial" w:eastAsia="Arial" w:hAnsi="Arial"/>
                <w:color w:val="26323D"/>
                <w:sz w:val="20"/>
                <w:szCs w:val="20"/>
              </w:rPr>
              <w:t xml:space="preserve">02</w:t>
            </w:r>
            <w:r>
              <w:rPr>
                <w:rFonts w:ascii="Arial" w:cs="Arial" w:eastAsia="Arial" w:hAnsi="Arial"/>
                <w:b/>
                <w:bCs/>
                <w:color w:val="1D252B"/>
                <w:sz w:val="24"/>
                <w:szCs w:val="24"/>
              </w:rPr>
              <w:t xml:space="preserve">  Supplier Due Diligence &amp; Risk Assessment</w:t>
            </w:r>
          </w:p>
        </w:tc>
      </w:tr>
      <w:tr>
        <w:trPr>
          <w:cantSplit/>
        </w:trPr>
        <w:tc>
          <w:tcPr>
            <w:tcW w:type="dxa" w:w="4169"/>
            <w:tcBorders>
              <w:top w:val="single" w:color="D8DEE2" w:sz="5" w:space="1"/>
              <w:left w:val="single" w:color="D8DEE2" w:sz="5" w:space="1"/>
              <w:bottom w:val="single" w:color="D8DEE2" w:sz="5" w:space="1"/>
              <w:right w:val="single" w:color="D8DEE2" w:sz="5" w:space="1"/>
            </w:tcBorders>
            <w:tcMar>
              <w:top w:type="dxa" w:w="150"/>
              <w:left w:type="dxa" w:w="170"/>
              <w:bottom w:type="dxa" w:w="150"/>
              <w:right w:type="dxa" w:w="170"/>
            </w:tcMar>
            <w:vAlign w:val="center"/>
          </w:tcPr>
          <w:p>
            <w:pPr>
              <w:spacing w:after="70"/>
            </w:pPr>
            <w:r>
              <w:rPr>
                <w:rFonts w:ascii="Arial" w:cs="Arial" w:eastAsia="Arial" w:hAnsi="Arial"/>
                <w:color w:val="26323D"/>
                <w:sz w:val="20"/>
                <w:szCs w:val="20"/>
              </w:rPr>
              <w:t xml:space="preserve">03</w:t>
            </w:r>
            <w:r>
              <w:rPr>
                <w:rFonts w:ascii="Arial" w:cs="Arial" w:eastAsia="Arial" w:hAnsi="Arial"/>
                <w:b/>
                <w:bCs/>
                <w:color w:val="1D252B"/>
                <w:sz w:val="24"/>
                <w:szCs w:val="24"/>
              </w:rPr>
              <w:t xml:space="preserve">  Environmental Requirements for Suppliers</w:t>
            </w:r>
          </w:p>
        </w:tc>
        <w:tc>
          <w:tcPr>
            <w:tcW w:type="dxa" w:w="4169"/>
            <w:tcBorders>
              <w:top w:val="single" w:color="D8DEE2" w:sz="5" w:space="1"/>
              <w:left w:val="single" w:color="D8DEE2" w:sz="5" w:space="1"/>
              <w:bottom w:val="single" w:color="D8DEE2" w:sz="5" w:space="1"/>
              <w:right w:val="single" w:color="D8DEE2" w:sz="5" w:space="1"/>
            </w:tcBorders>
            <w:tcMar>
              <w:top w:type="dxa" w:w="150"/>
              <w:left w:type="dxa" w:w="170"/>
              <w:bottom w:type="dxa" w:w="150"/>
              <w:right w:type="dxa" w:w="170"/>
            </w:tcMar>
            <w:vAlign w:val="center"/>
          </w:tcPr>
          <w:p>
            <w:pPr>
              <w:spacing w:after="70"/>
            </w:pPr>
            <w:r>
              <w:rPr>
                <w:rFonts w:ascii="Arial" w:cs="Arial" w:eastAsia="Arial" w:hAnsi="Arial"/>
                <w:color w:val="26323D"/>
                <w:sz w:val="20"/>
                <w:szCs w:val="20"/>
              </w:rPr>
              <w:t xml:space="preserve">04</w:t>
            </w:r>
            <w:r>
              <w:rPr>
                <w:rFonts w:ascii="Arial" w:cs="Arial" w:eastAsia="Arial" w:hAnsi="Arial"/>
                <w:b/>
                <w:bCs/>
                <w:color w:val="1D252B"/>
                <w:sz w:val="24"/>
                <w:szCs w:val="24"/>
              </w:rPr>
              <w:t xml:space="preserve">  Ethical Sourcing &amp; Anti-Corruption</w:t>
            </w:r>
          </w:p>
        </w:tc>
      </w:tr>
      <w:tr>
        <w:trPr>
          <w:cantSplit/>
        </w:trPr>
        <w:tc>
          <w:tcPr>
            <w:tcW w:type="dxa" w:w="4169"/>
            <w:tcBorders>
              <w:top w:val="single" w:color="D8DEE2" w:sz="5" w:space="1"/>
              <w:left w:val="single" w:color="D8DEE2" w:sz="5" w:space="1"/>
              <w:bottom w:val="single" w:color="D8DEE2" w:sz="5" w:space="1"/>
              <w:right w:val="single" w:color="D8DEE2" w:sz="5" w:space="1"/>
            </w:tcBorders>
            <w:tcMar>
              <w:top w:type="dxa" w:w="150"/>
              <w:left w:type="dxa" w:w="170"/>
              <w:bottom w:type="dxa" w:w="150"/>
              <w:right w:type="dxa" w:w="170"/>
            </w:tcMar>
            <w:vAlign w:val="center"/>
          </w:tcPr>
          <w:p>
            <w:pPr>
              <w:spacing w:after="70"/>
            </w:pPr>
            <w:r>
              <w:rPr>
                <w:rFonts w:ascii="Arial" w:cs="Arial" w:eastAsia="Arial" w:hAnsi="Arial"/>
                <w:color w:val="26323D"/>
                <w:sz w:val="20"/>
                <w:szCs w:val="20"/>
              </w:rPr>
              <w:t xml:space="preserve">05</w:t>
            </w:r>
            <w:r>
              <w:rPr>
                <w:rFonts w:ascii="Arial" w:cs="Arial" w:eastAsia="Arial" w:hAnsi="Arial"/>
                <w:b/>
                <w:bCs/>
                <w:color w:val="1D252B"/>
                <w:sz w:val="24"/>
                <w:szCs w:val="24"/>
              </w:rPr>
              <w:t xml:space="preserve">  Labour &amp; Human Rights in Supply Chain</w:t>
            </w:r>
          </w:p>
        </w:tc>
        <w:tc>
          <w:tcPr>
            <w:tcW w:type="dxa" w:w="4169"/>
            <w:tcBorders>
              <w:top w:val="single" w:color="D8DEE2" w:sz="5" w:space="1"/>
              <w:left w:val="single" w:color="D8DEE2" w:sz="5" w:space="1"/>
              <w:bottom w:val="single" w:color="D8DEE2" w:sz="5" w:space="1"/>
              <w:right w:val="single" w:color="D8DEE2" w:sz="5" w:space="1"/>
            </w:tcBorders>
            <w:tcMar>
              <w:top w:type="dxa" w:w="150"/>
              <w:left w:type="dxa" w:w="170"/>
              <w:bottom w:type="dxa" w:w="150"/>
              <w:right w:type="dxa" w:w="170"/>
            </w:tcMar>
            <w:vAlign w:val="center"/>
          </w:tcPr>
          <w:p>
            <w:r>
              <w:t xml:space="preserve"/>
            </w:r>
          </w:p>
        </w:tc>
      </w:tr>
    </w:tbl>
    <w:p>
      <w:pPr>
        <w:spacing w:before="115"/>
      </w:pPr>
      <w:r>
        <w:rPr>
          <w:sz w:val="2"/>
          <w:szCs w:val="2"/>
        </w:rPr>
        <w:t xml:space="preserve"> </w:t>
      </w:r>
    </w:p>
    <w:p>
      <w:pPr>
        <w:pStyle w:val="PolicyHeading"/>
        <w:pBdr>
          <w:bottom w:val="single" w:color="26323D" w:sz="4" w:space="1"/>
        </w:pBdr>
        <w:spacing w:after="180" w:before="260"/>
        <w:jc w:val="left"/>
      </w:pPr>
      <w:bookmarkStart w:name="standard-qualitative" w:id="1"/>
      <w:bookmarkEnd w:id="1"/>
      <w:r>
        <w:rPr>
          <w:rFonts w:ascii="Arial" w:cs="Arial" w:eastAsia="Arial" w:hAnsi="Arial"/>
          <w:color w:val="69747B"/>
          <w:sz w:val="20"/>
          <w:szCs w:val="20"/>
        </w:rPr>
        <w:t xml:space="preserve">05   </w:t>
      </w:r>
      <w:r>
        <w:rPr>
          <w:rFonts w:ascii="Arial" w:cs="Arial" w:eastAsia="Arial" w:hAnsi="Arial"/>
          <w:b/>
          <w:bCs/>
          <w:color w:val="18232B"/>
          <w:sz w:val="30"/>
          <w:szCs w:val="30"/>
        </w:rPr>
        <w:t xml:space="preserve">Qualitative Objectives</w:t>
      </w:r>
    </w:p>
    <w:p>
      <w:pPr>
        <w:spacing w:after="90"/>
      </w:pPr>
      <w:r>
        <w:rPr>
          <w:rFonts w:ascii="Arial" w:cs="Arial" w:eastAsia="Arial" w:hAnsi="Arial"/>
          <w:b/>
          <w:bCs/>
          <w:color w:val="26323D"/>
          <w:sz w:val="18"/>
          <w:szCs w:val="18"/>
        </w:rPr>
        <w:t xml:space="preserve">01  </w:t>
      </w:r>
      <w:r>
        <w:rPr>
          <w:rFonts w:ascii="Arial" w:cs="Arial" w:eastAsia="Arial" w:hAnsi="Arial"/>
          <w:b/>
          <w:bCs/>
          <w:color w:val="18232B"/>
          <w:sz w:val="24"/>
          <w:szCs w:val="24"/>
        </w:rPr>
        <w:t xml:space="preserve">Supplier Code of Conduct &amp; Onboarding</w:t>
      </w:r>
    </w:p>
    <w:p>
      <w:pPr>
        <w:pStyle w:val="PolicyBody"/>
        <w:numPr>
          <w:ilvl w:val="0"/>
          <w:numId w:val="2"/>
        </w:numPr>
        <w:spacing w:after="90" w:line="324"/>
      </w:pPr>
      <w:r>
        <w:rPr>
          <w:rFonts w:ascii="Arial" w:cs="Arial" w:eastAsia="Arial" w:hAnsi="Arial"/>
          <w:color w:val="1D252B"/>
          <w:sz w:val="21"/>
          <w:szCs w:val="21"/>
        </w:rPr>
        <w:t xml:space="preserve">Assign accountable ownership and approved procedures for supplier code of conduct &amp; onboarding.</w:t>
      </w:r>
    </w:p>
    <w:p>
      <w:pPr>
        <w:pStyle w:val="PolicyBody"/>
        <w:numPr>
          <w:ilvl w:val="0"/>
          <w:numId w:val="2"/>
        </w:numPr>
        <w:spacing w:after="90" w:line="324"/>
      </w:pPr>
      <w:r>
        <w:rPr>
          <w:rFonts w:ascii="Arial" w:cs="Arial" w:eastAsia="Arial" w:hAnsi="Arial"/>
          <w:color w:val="1D252B"/>
          <w:sz w:val="21"/>
          <w:szCs w:val="21"/>
        </w:rPr>
        <w:t xml:space="preserve">Identify material risks and improvement opportunities related to supplier code of conduct &amp; onboarding.</w:t>
      </w:r>
    </w:p>
    <w:p>
      <w:pPr>
        <w:pStyle w:val="PolicyBody"/>
        <w:numPr>
          <w:ilvl w:val="0"/>
          <w:numId w:val="2"/>
        </w:numPr>
        <w:spacing w:after="90" w:line="324"/>
      </w:pPr>
      <w:r>
        <w:rPr>
          <w:rFonts w:ascii="Arial" w:cs="Arial" w:eastAsia="Arial" w:hAnsi="Arial"/>
          <w:color w:val="1D252B"/>
          <w:sz w:val="21"/>
          <w:szCs w:val="21"/>
        </w:rPr>
        <w:t xml:space="preserve">Define measures, evidence sources and review frequency for supplier code of conduct &amp; onboarding.</w:t>
      </w:r>
    </w:p>
    <w:p>
      <w:pPr>
        <w:spacing w:before="70"/>
      </w:pPr>
      <w:r>
        <w:rPr>
          <w:sz w:val="2"/>
          <w:szCs w:val="2"/>
        </w:rPr>
        <w:t xml:space="preserve"> </w:t>
      </w:r>
    </w:p>
    <w:p>
      <w:pPr>
        <w:spacing w:after="90"/>
      </w:pPr>
      <w:r>
        <w:rPr>
          <w:rFonts w:ascii="Arial" w:cs="Arial" w:eastAsia="Arial" w:hAnsi="Arial"/>
          <w:b/>
          <w:bCs/>
          <w:color w:val="26323D"/>
          <w:sz w:val="18"/>
          <w:szCs w:val="18"/>
        </w:rPr>
        <w:t xml:space="preserve">02  </w:t>
      </w:r>
      <w:r>
        <w:rPr>
          <w:rFonts w:ascii="Arial" w:cs="Arial" w:eastAsia="Arial" w:hAnsi="Arial"/>
          <w:b/>
          <w:bCs/>
          <w:color w:val="18232B"/>
          <w:sz w:val="24"/>
          <w:szCs w:val="24"/>
        </w:rPr>
        <w:t xml:space="preserve">Supplier Due Diligence &amp; Risk Assessment</w:t>
      </w:r>
    </w:p>
    <w:p>
      <w:pPr>
        <w:pStyle w:val="PolicyBody"/>
        <w:numPr>
          <w:ilvl w:val="0"/>
          <w:numId w:val="2"/>
        </w:numPr>
        <w:spacing w:after="90" w:line="324"/>
      </w:pPr>
      <w:r>
        <w:rPr>
          <w:rFonts w:ascii="Arial" w:cs="Arial" w:eastAsia="Arial" w:hAnsi="Arial"/>
          <w:color w:val="1D252B"/>
          <w:sz w:val="21"/>
          <w:szCs w:val="21"/>
        </w:rPr>
        <w:t xml:space="preserve">Assign accountable ownership and approved procedures for supplier due diligence &amp; risk assessment.</w:t>
      </w:r>
    </w:p>
    <w:p>
      <w:pPr>
        <w:pStyle w:val="PolicyBody"/>
        <w:numPr>
          <w:ilvl w:val="0"/>
          <w:numId w:val="2"/>
        </w:numPr>
        <w:spacing w:after="90" w:line="324"/>
      </w:pPr>
      <w:r>
        <w:rPr>
          <w:rFonts w:ascii="Arial" w:cs="Arial" w:eastAsia="Arial" w:hAnsi="Arial"/>
          <w:color w:val="1D252B"/>
          <w:sz w:val="21"/>
          <w:szCs w:val="21"/>
        </w:rPr>
        <w:t xml:space="preserve">Identify material risks and improvement opportunities related to supplier due diligence &amp; risk assessment.</w:t>
      </w:r>
    </w:p>
    <w:p>
      <w:pPr>
        <w:pStyle w:val="PolicyBody"/>
        <w:numPr>
          <w:ilvl w:val="0"/>
          <w:numId w:val="2"/>
        </w:numPr>
        <w:spacing w:after="90" w:line="324"/>
      </w:pPr>
      <w:r>
        <w:rPr>
          <w:rFonts w:ascii="Arial" w:cs="Arial" w:eastAsia="Arial" w:hAnsi="Arial"/>
          <w:color w:val="1D252B"/>
          <w:sz w:val="21"/>
          <w:szCs w:val="21"/>
        </w:rPr>
        <w:t xml:space="preserve">Define measures, evidence sources and review frequency for supplier due diligence &amp; risk assessment.</w:t>
      </w:r>
    </w:p>
    <w:p>
      <w:pPr>
        <w:spacing w:before="70"/>
      </w:pPr>
      <w:r>
        <w:rPr>
          <w:sz w:val="2"/>
          <w:szCs w:val="2"/>
        </w:rPr>
        <w:t xml:space="preserve"> </w:t>
      </w:r>
    </w:p>
    <w:p>
      <w:pPr>
        <w:spacing w:after="90"/>
      </w:pPr>
      <w:r>
        <w:rPr>
          <w:rFonts w:ascii="Arial" w:cs="Arial" w:eastAsia="Arial" w:hAnsi="Arial"/>
          <w:b/>
          <w:bCs/>
          <w:color w:val="26323D"/>
          <w:sz w:val="18"/>
          <w:szCs w:val="18"/>
        </w:rPr>
        <w:t xml:space="preserve">03  </w:t>
      </w:r>
      <w:r>
        <w:rPr>
          <w:rFonts w:ascii="Arial" w:cs="Arial" w:eastAsia="Arial" w:hAnsi="Arial"/>
          <w:b/>
          <w:bCs/>
          <w:color w:val="18232B"/>
          <w:sz w:val="24"/>
          <w:szCs w:val="24"/>
        </w:rPr>
        <w:t xml:space="preserve">Environmental Requirements for Suppliers</w:t>
      </w:r>
    </w:p>
    <w:p>
      <w:pPr>
        <w:pStyle w:val="PolicyBody"/>
        <w:numPr>
          <w:ilvl w:val="0"/>
          <w:numId w:val="2"/>
        </w:numPr>
        <w:spacing w:after="90" w:line="324"/>
      </w:pPr>
      <w:r>
        <w:rPr>
          <w:rFonts w:ascii="Arial" w:cs="Arial" w:eastAsia="Arial" w:hAnsi="Arial"/>
          <w:color w:val="1D252B"/>
          <w:sz w:val="21"/>
          <w:szCs w:val="21"/>
        </w:rPr>
        <w:t xml:space="preserve">Assign accountable ownership and approved procedures for environmental requirements for suppliers.</w:t>
      </w:r>
    </w:p>
    <w:p>
      <w:pPr>
        <w:pStyle w:val="PolicyBody"/>
        <w:numPr>
          <w:ilvl w:val="0"/>
          <w:numId w:val="2"/>
        </w:numPr>
        <w:spacing w:after="90" w:line="324"/>
      </w:pPr>
      <w:r>
        <w:rPr>
          <w:rFonts w:ascii="Arial" w:cs="Arial" w:eastAsia="Arial" w:hAnsi="Arial"/>
          <w:color w:val="1D252B"/>
          <w:sz w:val="21"/>
          <w:szCs w:val="21"/>
        </w:rPr>
        <w:t xml:space="preserve">Identify material risks and improvement opportunities related to environmental requirements for suppliers.</w:t>
      </w:r>
    </w:p>
    <w:p>
      <w:pPr>
        <w:pStyle w:val="PolicyBody"/>
        <w:numPr>
          <w:ilvl w:val="0"/>
          <w:numId w:val="2"/>
        </w:numPr>
        <w:spacing w:after="90" w:line="324"/>
      </w:pPr>
      <w:r>
        <w:rPr>
          <w:rFonts w:ascii="Arial" w:cs="Arial" w:eastAsia="Arial" w:hAnsi="Arial"/>
          <w:color w:val="1D252B"/>
          <w:sz w:val="21"/>
          <w:szCs w:val="21"/>
        </w:rPr>
        <w:t xml:space="preserve">Define measures, evidence sources and review frequency for environmental requirements for suppliers.</w:t>
      </w:r>
    </w:p>
    <w:p>
      <w:pPr>
        <w:spacing w:before="70"/>
      </w:pPr>
      <w:r>
        <w:rPr>
          <w:sz w:val="2"/>
          <w:szCs w:val="2"/>
        </w:rPr>
        <w:t xml:space="preserve"> </w:t>
      </w:r>
    </w:p>
    <w:p>
      <w:pPr>
        <w:spacing w:after="90"/>
      </w:pPr>
      <w:r>
        <w:rPr>
          <w:rFonts w:ascii="Arial" w:cs="Arial" w:eastAsia="Arial" w:hAnsi="Arial"/>
          <w:b/>
          <w:bCs/>
          <w:color w:val="26323D"/>
          <w:sz w:val="18"/>
          <w:szCs w:val="18"/>
        </w:rPr>
        <w:t xml:space="preserve">04  </w:t>
      </w:r>
      <w:r>
        <w:rPr>
          <w:rFonts w:ascii="Arial" w:cs="Arial" w:eastAsia="Arial" w:hAnsi="Arial"/>
          <w:b/>
          <w:bCs/>
          <w:color w:val="18232B"/>
          <w:sz w:val="24"/>
          <w:szCs w:val="24"/>
        </w:rPr>
        <w:t xml:space="preserve">Ethical Sourcing &amp; Anti-Corruption</w:t>
      </w:r>
    </w:p>
    <w:p>
      <w:pPr>
        <w:pStyle w:val="PolicyBody"/>
        <w:numPr>
          <w:ilvl w:val="0"/>
          <w:numId w:val="2"/>
        </w:numPr>
        <w:spacing w:after="90" w:line="324"/>
      </w:pPr>
      <w:r>
        <w:rPr>
          <w:rFonts w:ascii="Arial" w:cs="Arial" w:eastAsia="Arial" w:hAnsi="Arial"/>
          <w:color w:val="1D252B"/>
          <w:sz w:val="21"/>
          <w:szCs w:val="21"/>
        </w:rPr>
        <w:t xml:space="preserve">Assign accountable ownership and approved procedures for ethical sourcing &amp; anti-corruption.</w:t>
      </w:r>
    </w:p>
    <w:p>
      <w:pPr>
        <w:pStyle w:val="PolicyBody"/>
        <w:numPr>
          <w:ilvl w:val="0"/>
          <w:numId w:val="2"/>
        </w:numPr>
        <w:spacing w:after="90" w:line="324"/>
      </w:pPr>
      <w:r>
        <w:rPr>
          <w:rFonts w:ascii="Arial" w:cs="Arial" w:eastAsia="Arial" w:hAnsi="Arial"/>
          <w:color w:val="1D252B"/>
          <w:sz w:val="21"/>
          <w:szCs w:val="21"/>
        </w:rPr>
        <w:t xml:space="preserve">Identify material risks and improvement opportunities related to ethical sourcing &amp; anti-corruption.</w:t>
      </w:r>
    </w:p>
    <w:p>
      <w:pPr>
        <w:pStyle w:val="PolicyBody"/>
        <w:numPr>
          <w:ilvl w:val="0"/>
          <w:numId w:val="2"/>
        </w:numPr>
        <w:spacing w:after="90" w:line="324"/>
      </w:pPr>
      <w:r>
        <w:rPr>
          <w:rFonts w:ascii="Arial" w:cs="Arial" w:eastAsia="Arial" w:hAnsi="Arial"/>
          <w:color w:val="1D252B"/>
          <w:sz w:val="21"/>
          <w:szCs w:val="21"/>
        </w:rPr>
        <w:t xml:space="preserve">Define measures, evidence sources and review frequency for ethical sourcing &amp; anti-corruption.</w:t>
      </w:r>
    </w:p>
    <w:p>
      <w:pPr>
        <w:spacing w:before="70"/>
      </w:pPr>
      <w:r>
        <w:rPr>
          <w:sz w:val="2"/>
          <w:szCs w:val="2"/>
        </w:rPr>
        <w:t xml:space="preserve"> </w:t>
      </w:r>
    </w:p>
    <w:p>
      <w:pPr>
        <w:spacing w:after="90"/>
      </w:pPr>
      <w:r>
        <w:rPr>
          <w:rFonts w:ascii="Arial" w:cs="Arial" w:eastAsia="Arial" w:hAnsi="Arial"/>
          <w:b/>
          <w:bCs/>
          <w:color w:val="26323D"/>
          <w:sz w:val="18"/>
          <w:szCs w:val="18"/>
        </w:rPr>
        <w:t xml:space="preserve">05  </w:t>
      </w:r>
      <w:r>
        <w:rPr>
          <w:rFonts w:ascii="Arial" w:cs="Arial" w:eastAsia="Arial" w:hAnsi="Arial"/>
          <w:b/>
          <w:bCs/>
          <w:color w:val="18232B"/>
          <w:sz w:val="24"/>
          <w:szCs w:val="24"/>
        </w:rPr>
        <w:t xml:space="preserve">Labour &amp; Human Rights in Supply Chain</w:t>
      </w:r>
    </w:p>
    <w:p>
      <w:pPr>
        <w:pStyle w:val="PolicyBody"/>
        <w:numPr>
          <w:ilvl w:val="0"/>
          <w:numId w:val="2"/>
        </w:numPr>
        <w:spacing w:after="90" w:line="324"/>
      </w:pPr>
      <w:r>
        <w:rPr>
          <w:rFonts w:ascii="Arial" w:cs="Arial" w:eastAsia="Arial" w:hAnsi="Arial"/>
          <w:color w:val="1D252B"/>
          <w:sz w:val="21"/>
          <w:szCs w:val="21"/>
        </w:rPr>
        <w:t xml:space="preserve">Assign accountable ownership and approved procedures for labour &amp; human rights in supply chain.</w:t>
      </w:r>
    </w:p>
    <w:p>
      <w:pPr>
        <w:pStyle w:val="PolicyBody"/>
        <w:numPr>
          <w:ilvl w:val="0"/>
          <w:numId w:val="2"/>
        </w:numPr>
        <w:spacing w:after="90" w:line="324"/>
      </w:pPr>
      <w:r>
        <w:rPr>
          <w:rFonts w:ascii="Arial" w:cs="Arial" w:eastAsia="Arial" w:hAnsi="Arial"/>
          <w:color w:val="1D252B"/>
          <w:sz w:val="21"/>
          <w:szCs w:val="21"/>
        </w:rPr>
        <w:t xml:space="preserve">Identify material risks and improvement opportunities related to labour &amp; human rights in supply chain.</w:t>
      </w:r>
    </w:p>
    <w:p>
      <w:pPr>
        <w:pStyle w:val="PolicyBody"/>
        <w:numPr>
          <w:ilvl w:val="0"/>
          <w:numId w:val="2"/>
        </w:numPr>
        <w:spacing w:after="90" w:line="324"/>
      </w:pPr>
      <w:r>
        <w:rPr>
          <w:rFonts w:ascii="Arial" w:cs="Arial" w:eastAsia="Arial" w:hAnsi="Arial"/>
          <w:color w:val="1D252B"/>
          <w:sz w:val="21"/>
          <w:szCs w:val="21"/>
        </w:rPr>
        <w:t xml:space="preserve">Define measures, evidence sources and review frequency for labour &amp; human rights in supply chain.</w:t>
      </w:r>
    </w:p>
    <w:p>
      <w:pPr>
        <w:spacing w:before="70"/>
      </w:pPr>
      <w:r>
        <w:rPr>
          <w:sz w:val="2"/>
          <w:szCs w:val="2"/>
        </w:rPr>
        <w:t xml:space="preserve"> </w:t>
      </w:r>
    </w:p>
    <w:p>
      <w:pPr>
        <w:spacing w:before="115"/>
      </w:pPr>
      <w:r>
        <w:rPr>
          <w:sz w:val="2"/>
          <w:szCs w:val="2"/>
        </w:rPr>
        <w:t xml:space="preserve"> </w:t>
      </w:r>
    </w:p>
    <w:p>
      <w:pPr>
        <w:pStyle w:val="PolicyHeading"/>
        <w:pBdr>
          <w:bottom w:val="single" w:color="26323D" w:sz="4" w:space="1"/>
        </w:pBdr>
        <w:spacing w:after="180" w:before="260"/>
        <w:jc w:val="left"/>
      </w:pPr>
      <w:bookmarkStart w:name="standard-quantitative" w:id="1"/>
      <w:bookmarkEnd w:id="1"/>
      <w:r>
        <w:rPr>
          <w:rFonts w:ascii="Arial" w:cs="Arial" w:eastAsia="Arial" w:hAnsi="Arial"/>
          <w:color w:val="69747B"/>
          <w:sz w:val="20"/>
          <w:szCs w:val="20"/>
        </w:rPr>
        <w:t xml:space="preserve">06   </w:t>
      </w:r>
      <w:r>
        <w:rPr>
          <w:rFonts w:ascii="Arial" w:cs="Arial" w:eastAsia="Arial" w:hAnsi="Arial"/>
          <w:b/>
          <w:bCs/>
          <w:color w:val="18232B"/>
          <w:sz w:val="30"/>
          <w:szCs w:val="30"/>
        </w:rPr>
        <w:t xml:space="preserve">Quantitative Targets</w:t>
      </w:r>
    </w:p>
    <w:p>
      <w:pPr>
        <w:spacing w:after="120"/>
      </w:pPr>
      <w:r>
        <w:rPr>
          <w:rFonts w:ascii="Arial" w:cs="Arial" w:eastAsia="Arial" w:hAnsi="Arial"/>
          <w:i/>
          <w:iCs/>
          <w:color w:val="69747B"/>
          <w:sz w:val="17"/>
          <w:szCs w:val="17"/>
        </w:rPr>
        <w:t xml:space="preserve">Targets are tracked against a defined period or reported annually as ongoing commitments.</w:t>
      </w:r>
    </w:p>
    <w:tbl>
      <w:tblPr>
        <w:tblW w:type="dxa" w:w="8498"/>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386"/>
        <w:gridCol w:w="1544"/>
        <w:gridCol w:w="2830"/>
        <w:gridCol w:w="1072"/>
        <w:gridCol w:w="1072"/>
        <w:gridCol w:w="1594"/>
      </w:tblGrid>
      <w:tr>
        <w:trPr>
          <w:cantSplit/>
          <w:tblHeader/>
        </w:trPr>
        <w:tc>
          <w:tcPr>
            <w:tcW w:type="dxa" w:w="386"/>
            <w:tcBorders>
              <w:top w:val="single" w:color="D8DEE2" w:sz="5" w:space="1"/>
              <w:left w:val="single" w:color="D8DEE2" w:sz="5" w:space="1"/>
              <w:bottom w:val="single" w:color="D8DEE2" w:sz="5" w:space="1"/>
              <w:right w:val="single" w:color="D8DEE2" w:sz="5" w:space="1"/>
            </w:tcBorders>
            <w:shd w:fill="26323D" w:color="26323D" w:val="solid"/>
            <w:tcMar>
              <w:top w:type="dxa" w:w="120"/>
              <w:left w:type="dxa" w:w="120"/>
              <w:bottom w:type="dxa" w:w="120"/>
              <w:right w:type="dxa" w:w="120"/>
            </w:tcMar>
            <w:vAlign w:val="center"/>
          </w:tcPr>
          <w:p>
            <w:r>
              <w:rPr>
                <w:b/>
                <w:bCs/>
                <w:color w:val="FFFFFF"/>
                <w:sz w:val="17"/>
                <w:szCs w:val="17"/>
              </w:rPr>
              <w:t xml:space="preserve">#</w:t>
            </w:r>
          </w:p>
        </w:tc>
        <w:tc>
          <w:tcPr>
            <w:tcW w:type="dxa" w:w="1544"/>
            <w:tcBorders>
              <w:top w:val="single" w:color="D8DEE2" w:sz="5" w:space="1"/>
              <w:left w:val="single" w:color="D8DEE2" w:sz="5" w:space="1"/>
              <w:bottom w:val="single" w:color="D8DEE2" w:sz="5" w:space="1"/>
              <w:right w:val="single" w:color="D8DEE2" w:sz="5" w:space="1"/>
            </w:tcBorders>
            <w:shd w:fill="26323D" w:color="26323D" w:val="solid"/>
            <w:tcMar>
              <w:top w:type="dxa" w:w="120"/>
              <w:left w:type="dxa" w:w="120"/>
              <w:bottom w:type="dxa" w:w="120"/>
              <w:right w:type="dxa" w:w="120"/>
            </w:tcMar>
            <w:vAlign w:val="center"/>
          </w:tcPr>
          <w:p>
            <w:r>
              <w:rPr>
                <w:b/>
                <w:bCs/>
                <w:color w:val="FFFFFF"/>
                <w:sz w:val="17"/>
                <w:szCs w:val="17"/>
              </w:rPr>
              <w:t xml:space="preserve">Focus Area</w:t>
            </w:r>
          </w:p>
        </w:tc>
        <w:tc>
          <w:tcPr>
            <w:tcW w:type="dxa" w:w="2830"/>
            <w:tcBorders>
              <w:top w:val="single" w:color="D8DEE2" w:sz="5" w:space="1"/>
              <w:left w:val="single" w:color="D8DEE2" w:sz="5" w:space="1"/>
              <w:bottom w:val="single" w:color="D8DEE2" w:sz="5" w:space="1"/>
              <w:right w:val="single" w:color="D8DEE2" w:sz="5" w:space="1"/>
            </w:tcBorders>
            <w:shd w:fill="26323D" w:color="26323D" w:val="solid"/>
            <w:tcMar>
              <w:top w:type="dxa" w:w="120"/>
              <w:left w:type="dxa" w:w="120"/>
              <w:bottom w:type="dxa" w:w="120"/>
              <w:right w:type="dxa" w:w="120"/>
            </w:tcMar>
            <w:vAlign w:val="center"/>
          </w:tcPr>
          <w:p>
            <w:r>
              <w:rPr>
                <w:b/>
                <w:bCs/>
                <w:color w:val="FFFFFF"/>
                <w:sz w:val="17"/>
                <w:szCs w:val="17"/>
              </w:rPr>
              <w:t xml:space="preserve">Target</w:t>
            </w:r>
          </w:p>
        </w:tc>
        <w:tc>
          <w:tcPr>
            <w:tcW w:type="dxa" w:w="1072"/>
            <w:tcBorders>
              <w:top w:val="single" w:color="D8DEE2" w:sz="5" w:space="1"/>
              <w:left w:val="single" w:color="D8DEE2" w:sz="5" w:space="1"/>
              <w:bottom w:val="single" w:color="D8DEE2" w:sz="5" w:space="1"/>
              <w:right w:val="single" w:color="D8DEE2" w:sz="5" w:space="1"/>
            </w:tcBorders>
            <w:shd w:fill="26323D" w:color="26323D" w:val="solid"/>
            <w:tcMar>
              <w:top w:type="dxa" w:w="120"/>
              <w:left w:type="dxa" w:w="120"/>
              <w:bottom w:type="dxa" w:w="120"/>
              <w:right w:type="dxa" w:w="120"/>
            </w:tcMar>
            <w:vAlign w:val="center"/>
          </w:tcPr>
          <w:p>
            <w:r>
              <w:rPr>
                <w:b/>
                <w:bCs/>
                <w:color w:val="FFFFFF"/>
                <w:sz w:val="17"/>
                <w:szCs w:val="17"/>
              </w:rPr>
              <w:t xml:space="preserve">Baseline</w:t>
            </w:r>
          </w:p>
        </w:tc>
        <w:tc>
          <w:tcPr>
            <w:tcW w:type="dxa" w:w="1072"/>
            <w:tcBorders>
              <w:top w:val="single" w:color="D8DEE2" w:sz="5" w:space="1"/>
              <w:left w:val="single" w:color="D8DEE2" w:sz="5" w:space="1"/>
              <w:bottom w:val="single" w:color="D8DEE2" w:sz="5" w:space="1"/>
              <w:right w:val="single" w:color="D8DEE2" w:sz="5" w:space="1"/>
            </w:tcBorders>
            <w:shd w:fill="26323D" w:color="26323D" w:val="solid"/>
            <w:tcMar>
              <w:top w:type="dxa" w:w="120"/>
              <w:left w:type="dxa" w:w="120"/>
              <w:bottom w:type="dxa" w:w="120"/>
              <w:right w:type="dxa" w:w="120"/>
            </w:tcMar>
            <w:vAlign w:val="center"/>
          </w:tcPr>
          <w:p>
            <w:r>
              <w:rPr>
                <w:b/>
                <w:bCs/>
                <w:color w:val="FFFFFF"/>
                <w:sz w:val="17"/>
                <w:szCs w:val="17"/>
              </w:rPr>
              <w:t xml:space="preserve">Deadline</w:t>
            </w:r>
          </w:p>
        </w:tc>
        <w:tc>
          <w:tcPr>
            <w:tcW w:type="dxa" w:w="1594"/>
            <w:tcBorders>
              <w:top w:val="single" w:color="D8DEE2" w:sz="5" w:space="1"/>
              <w:left w:val="single" w:color="D8DEE2" w:sz="5" w:space="1"/>
              <w:bottom w:val="single" w:color="D8DEE2" w:sz="5" w:space="1"/>
              <w:right w:val="single" w:color="D8DEE2" w:sz="5" w:space="1"/>
            </w:tcBorders>
            <w:shd w:fill="26323D" w:color="26323D" w:val="solid"/>
            <w:tcMar>
              <w:top w:type="dxa" w:w="120"/>
              <w:left w:type="dxa" w:w="120"/>
              <w:bottom w:type="dxa" w:w="120"/>
              <w:right w:type="dxa" w:w="120"/>
            </w:tcMar>
            <w:vAlign w:val="center"/>
          </w:tcPr>
          <w:p>
            <w:r>
              <w:rPr>
                <w:b/>
                <w:bCs/>
                <w:color w:val="FFFFFF"/>
                <w:sz w:val="17"/>
                <w:szCs w:val="17"/>
              </w:rPr>
              <w:t xml:space="preserve">Reporting</w:t>
            </w:r>
          </w:p>
        </w:tc>
      </w:tr>
      <w:tr>
        <w:trPr>
          <w:cantSplit/>
        </w:trPr>
        <w:tc>
          <w:tcPr>
            <w:tcW w:type="dxa" w:w="386"/>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1</w:t>
            </w:r>
          </w:p>
        </w:tc>
        <w:tc>
          <w:tcPr>
            <w:tcW w:type="dxa" w:w="1544"/>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Supplier Code of Conduct &amp; Onboarding</w:t>
            </w:r>
          </w:p>
        </w:tc>
        <w:tc>
          <w:tcPr>
            <w:tcW w:type="dxa" w:w="2830"/>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1. Achieve the approved supplier code of conduct &amp; onboarding target. Maintain documented evidence and review progress with the responsible department each quarter.</w:t>
            </w:r>
          </w:p>
        </w:tc>
        <w:tc>
          <w:tcPr>
            <w:tcW w:type="dxa" w:w="1072"/>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072"/>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594"/>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386"/>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2</w:t>
            </w:r>
          </w:p>
        </w:tc>
        <w:tc>
          <w:tcPr>
            <w:tcW w:type="dxa" w:w="1544"/>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Supplier Code of Conduct &amp; Onboarding</w:t>
            </w:r>
          </w:p>
        </w:tc>
        <w:tc>
          <w:tcPr>
            <w:tcW w:type="dxa" w:w="2830"/>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2. Achieve the approved supplier code of conduct &amp; onboarding target. Maintain documented evidence and review progress with the responsible department each quarter.</w:t>
            </w:r>
          </w:p>
        </w:tc>
        <w:tc>
          <w:tcPr>
            <w:tcW w:type="dxa" w:w="1072"/>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072"/>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594"/>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386"/>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3</w:t>
            </w:r>
          </w:p>
        </w:tc>
        <w:tc>
          <w:tcPr>
            <w:tcW w:type="dxa" w:w="1544"/>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Supplier Code of Conduct &amp; Onboarding</w:t>
            </w:r>
          </w:p>
        </w:tc>
        <w:tc>
          <w:tcPr>
            <w:tcW w:type="dxa" w:w="2830"/>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3. Achieve the approved supplier code of conduct &amp; onboarding target. Maintain documented evidence and review progress with the responsible department each quarter.</w:t>
            </w:r>
          </w:p>
        </w:tc>
        <w:tc>
          <w:tcPr>
            <w:tcW w:type="dxa" w:w="1072"/>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072"/>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594"/>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386"/>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4</w:t>
            </w:r>
          </w:p>
        </w:tc>
        <w:tc>
          <w:tcPr>
            <w:tcW w:type="dxa" w:w="1544"/>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Supplier Code of Conduct &amp; Onboarding</w:t>
            </w:r>
          </w:p>
        </w:tc>
        <w:tc>
          <w:tcPr>
            <w:tcW w:type="dxa" w:w="2830"/>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4. Achieve the approved supplier code of conduct &amp; onboarding target. Maintain documented evidence and review progress with the responsible department each quarter.</w:t>
            </w:r>
          </w:p>
        </w:tc>
        <w:tc>
          <w:tcPr>
            <w:tcW w:type="dxa" w:w="1072"/>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072"/>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594"/>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386"/>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5</w:t>
            </w:r>
          </w:p>
        </w:tc>
        <w:tc>
          <w:tcPr>
            <w:tcW w:type="dxa" w:w="1544"/>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Supplier Code of Conduct &amp; Onboarding</w:t>
            </w:r>
          </w:p>
        </w:tc>
        <w:tc>
          <w:tcPr>
            <w:tcW w:type="dxa" w:w="2830"/>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5. Achieve the approved supplier code of conduct &amp; onboarding target. Maintain documented evidence and review progress with the responsible department each quarter.</w:t>
            </w:r>
          </w:p>
        </w:tc>
        <w:tc>
          <w:tcPr>
            <w:tcW w:type="dxa" w:w="1072"/>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072"/>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594"/>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386"/>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6</w:t>
            </w:r>
          </w:p>
        </w:tc>
        <w:tc>
          <w:tcPr>
            <w:tcW w:type="dxa" w:w="1544"/>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Supplier Code of Conduct &amp; Onboarding</w:t>
            </w:r>
          </w:p>
        </w:tc>
        <w:tc>
          <w:tcPr>
            <w:tcW w:type="dxa" w:w="2830"/>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6. Achieve the approved supplier code of conduct &amp; onboarding target. Maintain documented evidence and review progress with the responsible department each quarter.</w:t>
            </w:r>
          </w:p>
        </w:tc>
        <w:tc>
          <w:tcPr>
            <w:tcW w:type="dxa" w:w="1072"/>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072"/>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594"/>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386"/>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7</w:t>
            </w:r>
          </w:p>
        </w:tc>
        <w:tc>
          <w:tcPr>
            <w:tcW w:type="dxa" w:w="1544"/>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Supplier Code of Conduct &amp; Onboarding</w:t>
            </w:r>
          </w:p>
        </w:tc>
        <w:tc>
          <w:tcPr>
            <w:tcW w:type="dxa" w:w="2830"/>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7. Achieve the approved supplier code of conduct &amp; onboarding target. Maintain documented evidence and review progress with the responsible department each quarter.</w:t>
            </w:r>
          </w:p>
        </w:tc>
        <w:tc>
          <w:tcPr>
            <w:tcW w:type="dxa" w:w="1072"/>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072"/>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594"/>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386"/>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8</w:t>
            </w:r>
          </w:p>
        </w:tc>
        <w:tc>
          <w:tcPr>
            <w:tcW w:type="dxa" w:w="1544"/>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Supplier Code of Conduct &amp; Onboarding</w:t>
            </w:r>
          </w:p>
        </w:tc>
        <w:tc>
          <w:tcPr>
            <w:tcW w:type="dxa" w:w="2830"/>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8. Achieve the approved supplier code of conduct &amp; onboarding target. Maintain documented evidence and review progress with the responsible department each quarter.</w:t>
            </w:r>
          </w:p>
        </w:tc>
        <w:tc>
          <w:tcPr>
            <w:tcW w:type="dxa" w:w="1072"/>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072"/>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594"/>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386"/>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9</w:t>
            </w:r>
          </w:p>
        </w:tc>
        <w:tc>
          <w:tcPr>
            <w:tcW w:type="dxa" w:w="1544"/>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Supplier Code of Conduct &amp; Onboarding</w:t>
            </w:r>
          </w:p>
        </w:tc>
        <w:tc>
          <w:tcPr>
            <w:tcW w:type="dxa" w:w="2830"/>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9. Achieve the approved supplier code of conduct &amp; onboarding target. Maintain documented evidence and review progress with the responsible department each quarter.</w:t>
            </w:r>
          </w:p>
        </w:tc>
        <w:tc>
          <w:tcPr>
            <w:tcW w:type="dxa" w:w="1072"/>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072"/>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594"/>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386"/>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10</w:t>
            </w:r>
          </w:p>
        </w:tc>
        <w:tc>
          <w:tcPr>
            <w:tcW w:type="dxa" w:w="1544"/>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Supplier Code of Conduct &amp; Onboarding</w:t>
            </w:r>
          </w:p>
        </w:tc>
        <w:tc>
          <w:tcPr>
            <w:tcW w:type="dxa" w:w="2830"/>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10. Achieve the approved supplier code of conduct &amp; onboarding target. Maintain documented evidence and review progress with the responsible department each quarter.</w:t>
            </w:r>
          </w:p>
        </w:tc>
        <w:tc>
          <w:tcPr>
            <w:tcW w:type="dxa" w:w="1072"/>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072"/>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594"/>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386"/>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11</w:t>
            </w:r>
          </w:p>
        </w:tc>
        <w:tc>
          <w:tcPr>
            <w:tcW w:type="dxa" w:w="1544"/>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Supplier Due Diligence &amp; Risk Assessment</w:t>
            </w:r>
          </w:p>
        </w:tc>
        <w:tc>
          <w:tcPr>
            <w:tcW w:type="dxa" w:w="2830"/>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1. Achieve the approved supplier due diligence &amp; risk assessment target. Maintain documented evidence and review progress with the responsible department each quarter.</w:t>
            </w:r>
          </w:p>
        </w:tc>
        <w:tc>
          <w:tcPr>
            <w:tcW w:type="dxa" w:w="1072"/>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072"/>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594"/>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386"/>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12</w:t>
            </w:r>
          </w:p>
        </w:tc>
        <w:tc>
          <w:tcPr>
            <w:tcW w:type="dxa" w:w="1544"/>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Supplier Due Diligence &amp; Risk Assessment</w:t>
            </w:r>
          </w:p>
        </w:tc>
        <w:tc>
          <w:tcPr>
            <w:tcW w:type="dxa" w:w="2830"/>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2. Achieve the approved supplier due diligence &amp; risk assessment target. Maintain documented evidence and review progress with the responsible department each quarter.</w:t>
            </w:r>
          </w:p>
        </w:tc>
        <w:tc>
          <w:tcPr>
            <w:tcW w:type="dxa" w:w="1072"/>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072"/>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594"/>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386"/>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13</w:t>
            </w:r>
          </w:p>
        </w:tc>
        <w:tc>
          <w:tcPr>
            <w:tcW w:type="dxa" w:w="1544"/>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Supplier Due Diligence &amp; Risk Assessment</w:t>
            </w:r>
          </w:p>
        </w:tc>
        <w:tc>
          <w:tcPr>
            <w:tcW w:type="dxa" w:w="2830"/>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3. Achieve the approved supplier due diligence &amp; risk assessment target. Maintain documented evidence and review progress with the responsible department each quarter.</w:t>
            </w:r>
          </w:p>
        </w:tc>
        <w:tc>
          <w:tcPr>
            <w:tcW w:type="dxa" w:w="1072"/>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072"/>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594"/>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386"/>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14</w:t>
            </w:r>
          </w:p>
        </w:tc>
        <w:tc>
          <w:tcPr>
            <w:tcW w:type="dxa" w:w="1544"/>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Supplier Due Diligence &amp; Risk Assessment</w:t>
            </w:r>
          </w:p>
        </w:tc>
        <w:tc>
          <w:tcPr>
            <w:tcW w:type="dxa" w:w="2830"/>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4. Achieve the approved supplier due diligence &amp; risk assessment target. Maintain documented evidence and review progress with the responsible department each quarter.</w:t>
            </w:r>
          </w:p>
        </w:tc>
        <w:tc>
          <w:tcPr>
            <w:tcW w:type="dxa" w:w="1072"/>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072"/>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594"/>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386"/>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15</w:t>
            </w:r>
          </w:p>
        </w:tc>
        <w:tc>
          <w:tcPr>
            <w:tcW w:type="dxa" w:w="1544"/>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Supplier Due Diligence &amp; Risk Assessment</w:t>
            </w:r>
          </w:p>
        </w:tc>
        <w:tc>
          <w:tcPr>
            <w:tcW w:type="dxa" w:w="2830"/>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5. Achieve the approved supplier due diligence &amp; risk assessment target. Maintain documented evidence and review progress with the responsible department each quarter.</w:t>
            </w:r>
          </w:p>
        </w:tc>
        <w:tc>
          <w:tcPr>
            <w:tcW w:type="dxa" w:w="1072"/>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072"/>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594"/>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386"/>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16</w:t>
            </w:r>
          </w:p>
        </w:tc>
        <w:tc>
          <w:tcPr>
            <w:tcW w:type="dxa" w:w="1544"/>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Supplier Due Diligence &amp; Risk Assessment</w:t>
            </w:r>
          </w:p>
        </w:tc>
        <w:tc>
          <w:tcPr>
            <w:tcW w:type="dxa" w:w="2830"/>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6. Achieve the approved supplier due diligence &amp; risk assessment target. Maintain documented evidence and review progress with the responsible department each quarter.</w:t>
            </w:r>
          </w:p>
        </w:tc>
        <w:tc>
          <w:tcPr>
            <w:tcW w:type="dxa" w:w="1072"/>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072"/>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594"/>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386"/>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17</w:t>
            </w:r>
          </w:p>
        </w:tc>
        <w:tc>
          <w:tcPr>
            <w:tcW w:type="dxa" w:w="1544"/>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Supplier Due Diligence &amp; Risk Assessment</w:t>
            </w:r>
          </w:p>
        </w:tc>
        <w:tc>
          <w:tcPr>
            <w:tcW w:type="dxa" w:w="2830"/>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7. Achieve the approved supplier due diligence &amp; risk assessment target. Maintain documented evidence and review progress with the responsible department each quarter.</w:t>
            </w:r>
          </w:p>
        </w:tc>
        <w:tc>
          <w:tcPr>
            <w:tcW w:type="dxa" w:w="1072"/>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072"/>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594"/>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386"/>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18</w:t>
            </w:r>
          </w:p>
        </w:tc>
        <w:tc>
          <w:tcPr>
            <w:tcW w:type="dxa" w:w="1544"/>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Supplier Due Diligence &amp; Risk Assessment</w:t>
            </w:r>
          </w:p>
        </w:tc>
        <w:tc>
          <w:tcPr>
            <w:tcW w:type="dxa" w:w="2830"/>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8. Achieve the approved supplier due diligence &amp; risk assessment target. Maintain documented evidence and review progress with the responsible department each quarter.</w:t>
            </w:r>
          </w:p>
        </w:tc>
        <w:tc>
          <w:tcPr>
            <w:tcW w:type="dxa" w:w="1072"/>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072"/>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594"/>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386"/>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19</w:t>
            </w:r>
          </w:p>
        </w:tc>
        <w:tc>
          <w:tcPr>
            <w:tcW w:type="dxa" w:w="1544"/>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Supplier Due Diligence &amp; Risk Assessment</w:t>
            </w:r>
          </w:p>
        </w:tc>
        <w:tc>
          <w:tcPr>
            <w:tcW w:type="dxa" w:w="2830"/>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9. Achieve the approved supplier due diligence &amp; risk assessment target. Maintain documented evidence and review progress with the responsible department each quarter.</w:t>
            </w:r>
          </w:p>
        </w:tc>
        <w:tc>
          <w:tcPr>
            <w:tcW w:type="dxa" w:w="1072"/>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072"/>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594"/>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386"/>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20</w:t>
            </w:r>
          </w:p>
        </w:tc>
        <w:tc>
          <w:tcPr>
            <w:tcW w:type="dxa" w:w="1544"/>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Supplier Due Diligence &amp; Risk Assessment</w:t>
            </w:r>
          </w:p>
        </w:tc>
        <w:tc>
          <w:tcPr>
            <w:tcW w:type="dxa" w:w="2830"/>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10. Achieve the approved supplier due diligence &amp; risk assessment target. Maintain documented evidence and review progress with the responsible department each quarter.</w:t>
            </w:r>
          </w:p>
        </w:tc>
        <w:tc>
          <w:tcPr>
            <w:tcW w:type="dxa" w:w="1072"/>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072"/>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594"/>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386"/>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21</w:t>
            </w:r>
          </w:p>
        </w:tc>
        <w:tc>
          <w:tcPr>
            <w:tcW w:type="dxa" w:w="1544"/>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Environmental Requirements for Suppliers</w:t>
            </w:r>
          </w:p>
        </w:tc>
        <w:tc>
          <w:tcPr>
            <w:tcW w:type="dxa" w:w="2830"/>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1. Achieve the approved environmental requirements for suppliers target. Maintain documented evidence and review progress with the responsible department each quarter.</w:t>
            </w:r>
          </w:p>
        </w:tc>
        <w:tc>
          <w:tcPr>
            <w:tcW w:type="dxa" w:w="1072"/>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072"/>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594"/>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386"/>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22</w:t>
            </w:r>
          </w:p>
        </w:tc>
        <w:tc>
          <w:tcPr>
            <w:tcW w:type="dxa" w:w="1544"/>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Environmental Requirements for Suppliers</w:t>
            </w:r>
          </w:p>
        </w:tc>
        <w:tc>
          <w:tcPr>
            <w:tcW w:type="dxa" w:w="2830"/>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2. Achieve the approved environmental requirements for suppliers target. Maintain documented evidence and review progress with the responsible department each quarter.</w:t>
            </w:r>
          </w:p>
        </w:tc>
        <w:tc>
          <w:tcPr>
            <w:tcW w:type="dxa" w:w="1072"/>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072"/>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594"/>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386"/>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23</w:t>
            </w:r>
          </w:p>
        </w:tc>
        <w:tc>
          <w:tcPr>
            <w:tcW w:type="dxa" w:w="1544"/>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Environmental Requirements for Suppliers</w:t>
            </w:r>
          </w:p>
        </w:tc>
        <w:tc>
          <w:tcPr>
            <w:tcW w:type="dxa" w:w="2830"/>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3. Achieve the approved environmental requirements for suppliers target. Maintain documented evidence and review progress with the responsible department each quarter.</w:t>
            </w:r>
          </w:p>
        </w:tc>
        <w:tc>
          <w:tcPr>
            <w:tcW w:type="dxa" w:w="1072"/>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072"/>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594"/>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386"/>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24</w:t>
            </w:r>
          </w:p>
        </w:tc>
        <w:tc>
          <w:tcPr>
            <w:tcW w:type="dxa" w:w="1544"/>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Environmental Requirements for Suppliers</w:t>
            </w:r>
          </w:p>
        </w:tc>
        <w:tc>
          <w:tcPr>
            <w:tcW w:type="dxa" w:w="2830"/>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4. Achieve the approved environmental requirements for suppliers target. Maintain documented evidence and review progress with the responsible department each quarter.</w:t>
            </w:r>
          </w:p>
        </w:tc>
        <w:tc>
          <w:tcPr>
            <w:tcW w:type="dxa" w:w="1072"/>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072"/>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594"/>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386"/>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25</w:t>
            </w:r>
          </w:p>
        </w:tc>
        <w:tc>
          <w:tcPr>
            <w:tcW w:type="dxa" w:w="1544"/>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Environmental Requirements for Suppliers</w:t>
            </w:r>
          </w:p>
        </w:tc>
        <w:tc>
          <w:tcPr>
            <w:tcW w:type="dxa" w:w="2830"/>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5. Achieve the approved environmental requirements for suppliers target. Maintain documented evidence and review progress with the responsible department each quarter.</w:t>
            </w:r>
          </w:p>
        </w:tc>
        <w:tc>
          <w:tcPr>
            <w:tcW w:type="dxa" w:w="1072"/>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072"/>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594"/>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386"/>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26</w:t>
            </w:r>
          </w:p>
        </w:tc>
        <w:tc>
          <w:tcPr>
            <w:tcW w:type="dxa" w:w="1544"/>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Environmental Requirements for Suppliers</w:t>
            </w:r>
          </w:p>
        </w:tc>
        <w:tc>
          <w:tcPr>
            <w:tcW w:type="dxa" w:w="2830"/>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6. Achieve the approved environmental requirements for suppliers target. Maintain documented evidence and review progress with the responsible department each quarter.</w:t>
            </w:r>
          </w:p>
        </w:tc>
        <w:tc>
          <w:tcPr>
            <w:tcW w:type="dxa" w:w="1072"/>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072"/>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594"/>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386"/>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27</w:t>
            </w:r>
          </w:p>
        </w:tc>
        <w:tc>
          <w:tcPr>
            <w:tcW w:type="dxa" w:w="1544"/>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Environmental Requirements for Suppliers</w:t>
            </w:r>
          </w:p>
        </w:tc>
        <w:tc>
          <w:tcPr>
            <w:tcW w:type="dxa" w:w="2830"/>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7. Achieve the approved environmental requirements for suppliers target. Maintain documented evidence and review progress with the responsible department each quarter.</w:t>
            </w:r>
          </w:p>
        </w:tc>
        <w:tc>
          <w:tcPr>
            <w:tcW w:type="dxa" w:w="1072"/>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072"/>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594"/>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386"/>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28</w:t>
            </w:r>
          </w:p>
        </w:tc>
        <w:tc>
          <w:tcPr>
            <w:tcW w:type="dxa" w:w="1544"/>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Environmental Requirements for Suppliers</w:t>
            </w:r>
          </w:p>
        </w:tc>
        <w:tc>
          <w:tcPr>
            <w:tcW w:type="dxa" w:w="2830"/>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8. Achieve the approved environmental requirements for suppliers target. Maintain documented evidence and review progress with the responsible department each quarter.</w:t>
            </w:r>
          </w:p>
        </w:tc>
        <w:tc>
          <w:tcPr>
            <w:tcW w:type="dxa" w:w="1072"/>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072"/>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594"/>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386"/>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29</w:t>
            </w:r>
          </w:p>
        </w:tc>
        <w:tc>
          <w:tcPr>
            <w:tcW w:type="dxa" w:w="1544"/>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Environmental Requirements for Suppliers</w:t>
            </w:r>
          </w:p>
        </w:tc>
        <w:tc>
          <w:tcPr>
            <w:tcW w:type="dxa" w:w="2830"/>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9. Achieve the approved environmental requirements for suppliers target. Maintain documented evidence and review progress with the responsible department each quarter.</w:t>
            </w:r>
          </w:p>
        </w:tc>
        <w:tc>
          <w:tcPr>
            <w:tcW w:type="dxa" w:w="1072"/>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072"/>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594"/>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386"/>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30</w:t>
            </w:r>
          </w:p>
        </w:tc>
        <w:tc>
          <w:tcPr>
            <w:tcW w:type="dxa" w:w="1544"/>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Environmental Requirements for Suppliers</w:t>
            </w:r>
          </w:p>
        </w:tc>
        <w:tc>
          <w:tcPr>
            <w:tcW w:type="dxa" w:w="2830"/>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10. Achieve the approved environmental requirements for suppliers target. Maintain documented evidence and review progress with the responsible department each quarter.</w:t>
            </w:r>
          </w:p>
        </w:tc>
        <w:tc>
          <w:tcPr>
            <w:tcW w:type="dxa" w:w="1072"/>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072"/>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594"/>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Target period</w:t>
            </w:r>
          </w:p>
        </w:tc>
      </w:tr>
    </w:tbl>
    <w:p>
      <w:pPr>
        <w:spacing w:before="115"/>
      </w:pPr>
      <w:r>
        <w:rPr>
          <w:sz w:val="2"/>
          <w:szCs w:val="2"/>
        </w:rPr>
        <w:t xml:space="preserve"> </w:t>
      </w:r>
    </w:p>
    <w:p>
      <w:pPr>
        <w:pStyle w:val="PolicyHeading"/>
        <w:pBdr>
          <w:bottom w:val="single" w:color="26323D" w:sz="4" w:space="1"/>
        </w:pBdr>
        <w:spacing w:after="180" w:before="260"/>
        <w:jc w:val="left"/>
      </w:pPr>
      <w:bookmarkStart w:name="standard-sdg" w:id="1"/>
      <w:bookmarkEnd w:id="1"/>
      <w:r>
        <w:rPr>
          <w:rFonts w:ascii="Arial" w:cs="Arial" w:eastAsia="Arial" w:hAnsi="Arial"/>
          <w:color w:val="69747B"/>
          <w:sz w:val="20"/>
          <w:szCs w:val="20"/>
        </w:rPr>
        <w:t xml:space="preserve">07   </w:t>
      </w:r>
      <w:r>
        <w:rPr>
          <w:rFonts w:ascii="Arial" w:cs="Arial" w:eastAsia="Arial" w:hAnsi="Arial"/>
          <w:b/>
          <w:bCs/>
          <w:color w:val="18232B"/>
          <w:sz w:val="30"/>
          <w:szCs w:val="30"/>
        </w:rPr>
        <w:t xml:space="preserve">SDG Alignment</w:t>
      </w:r>
    </w:p>
    <w:p>
      <w:pPr>
        <w:spacing w:after="130"/>
      </w:pPr>
      <w:r>
        <w:rPr>
          <w:rFonts w:ascii="Arial" w:cs="Arial" w:eastAsia="Arial" w:hAnsi="Arial"/>
        </w:rPr>
        <w:t xml:space="preserve">This policy aligns with the following United Nations Sustainable Development Goals:</w:t>
      </w:r>
    </w:p>
    <w:tbl>
      <w:tblPr>
        <w:tblW w:type="dxa" w:w="8498"/>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1400"/>
        <w:gridCol w:w="7098"/>
      </w:tblGrid>
      <w:tr>
        <w:tc>
          <w:tcPr>
            <w:tcW w:type="dxa" w:w="1400"/>
            <w:shd w:fill="A21942" w:color="A21942" w:val="solid"/>
            <w:tcMar>
              <w:top w:type="dxa" w:w="120"/>
              <w:left w:type="dxa" w:w="120"/>
              <w:bottom w:type="dxa" w:w="120"/>
              <w:right w:type="dxa" w:w="120"/>
            </w:tcMar>
            <w:vAlign w:val="center"/>
          </w:tcPr>
          <w:p>
            <w:pPr>
              <w:jc w:val="center"/>
            </w:pPr>
            <w:r>
              <w:rPr>
                <w:b/>
                <w:bCs/>
                <w:color w:val="FFFFFF"/>
                <w:sz w:val="17"/>
                <w:szCs w:val="17"/>
              </w:rPr>
              <w:t xml:space="preserve">SDG 8</w:t>
            </w:r>
          </w:p>
        </w:tc>
        <w:tc>
          <w:tcPr>
            <w:tcW w:type="dxa" w:w="7098"/>
            <w:tcMar>
              <w:top w:type="dxa" w:w="120"/>
              <w:left w:type="dxa" w:w="120"/>
              <w:bottom w:type="dxa" w:w="120"/>
              <w:right w:type="dxa" w:w="120"/>
            </w:tcMar>
            <w:vAlign w:val="center"/>
          </w:tcPr>
          <w:p>
            <w:r>
              <w:rPr>
                <w:rFonts w:ascii="Arial" w:cs="Arial" w:eastAsia="Arial" w:hAnsi="Arial"/>
                <w:b/>
                <w:bCs/>
                <w:color w:val="A21942"/>
                <w:sz w:val="19"/>
                <w:szCs w:val="19"/>
              </w:rPr>
              <w:t xml:space="preserve">Decent Work</w:t>
            </w:r>
          </w:p>
        </w:tc>
      </w:tr>
    </w:tbl>
    <w:tbl>
      <w:tblPr>
        <w:tblW w:type="dxa" w:w="8498"/>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1400"/>
        <w:gridCol w:w="7098"/>
      </w:tblGrid>
      <w:tr>
        <w:tc>
          <w:tcPr>
            <w:tcW w:type="dxa" w:w="1400"/>
            <w:shd w:fill="FD6925" w:color="FD6925" w:val="solid"/>
            <w:tcMar>
              <w:top w:type="dxa" w:w="120"/>
              <w:left w:type="dxa" w:w="120"/>
              <w:bottom w:type="dxa" w:w="120"/>
              <w:right w:type="dxa" w:w="120"/>
            </w:tcMar>
            <w:vAlign w:val="center"/>
          </w:tcPr>
          <w:p>
            <w:pPr>
              <w:jc w:val="center"/>
            </w:pPr>
            <w:r>
              <w:rPr>
                <w:b/>
                <w:bCs/>
                <w:color w:val="FFFFFF"/>
                <w:sz w:val="17"/>
                <w:szCs w:val="17"/>
              </w:rPr>
              <w:t xml:space="preserve">SDG 9</w:t>
            </w:r>
          </w:p>
        </w:tc>
        <w:tc>
          <w:tcPr>
            <w:tcW w:type="dxa" w:w="7098"/>
            <w:tcMar>
              <w:top w:type="dxa" w:w="120"/>
              <w:left w:type="dxa" w:w="120"/>
              <w:bottom w:type="dxa" w:w="120"/>
              <w:right w:type="dxa" w:w="120"/>
            </w:tcMar>
            <w:vAlign w:val="center"/>
          </w:tcPr>
          <w:p>
            <w:r>
              <w:rPr>
                <w:rFonts w:ascii="Arial" w:cs="Arial" w:eastAsia="Arial" w:hAnsi="Arial"/>
                <w:b/>
                <w:bCs/>
                <w:color w:val="FD6925"/>
                <w:sz w:val="19"/>
                <w:szCs w:val="19"/>
              </w:rPr>
              <w:t xml:space="preserve">Industry &amp; Innovation</w:t>
            </w:r>
          </w:p>
        </w:tc>
      </w:tr>
    </w:tbl>
    <w:tbl>
      <w:tblPr>
        <w:tblW w:type="dxa" w:w="8498"/>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1400"/>
        <w:gridCol w:w="7098"/>
      </w:tblGrid>
      <w:tr>
        <w:tc>
          <w:tcPr>
            <w:tcW w:type="dxa" w:w="1400"/>
            <w:shd w:fill="BF8B2E" w:color="BF8B2E" w:val="solid"/>
            <w:tcMar>
              <w:top w:type="dxa" w:w="120"/>
              <w:left w:type="dxa" w:w="120"/>
              <w:bottom w:type="dxa" w:w="120"/>
              <w:right w:type="dxa" w:w="120"/>
            </w:tcMar>
            <w:vAlign w:val="center"/>
          </w:tcPr>
          <w:p>
            <w:pPr>
              <w:jc w:val="center"/>
            </w:pPr>
            <w:r>
              <w:rPr>
                <w:b/>
                <w:bCs/>
                <w:color w:val="FFFFFF"/>
                <w:sz w:val="17"/>
                <w:szCs w:val="17"/>
              </w:rPr>
              <w:t xml:space="preserve">SDG 12</w:t>
            </w:r>
          </w:p>
        </w:tc>
        <w:tc>
          <w:tcPr>
            <w:tcW w:type="dxa" w:w="7098"/>
            <w:tcMar>
              <w:top w:type="dxa" w:w="120"/>
              <w:left w:type="dxa" w:w="120"/>
              <w:bottom w:type="dxa" w:w="120"/>
              <w:right w:type="dxa" w:w="120"/>
            </w:tcMar>
            <w:vAlign w:val="center"/>
          </w:tcPr>
          <w:p>
            <w:r>
              <w:rPr>
                <w:rFonts w:ascii="Arial" w:cs="Arial" w:eastAsia="Arial" w:hAnsi="Arial"/>
                <w:b/>
                <w:bCs/>
                <w:color w:val="BF8B2E"/>
                <w:sz w:val="19"/>
                <w:szCs w:val="19"/>
              </w:rPr>
              <w:t xml:space="preserve">Responsible Consumption</w:t>
            </w:r>
          </w:p>
        </w:tc>
      </w:tr>
    </w:tbl>
    <w:tbl>
      <w:tblPr>
        <w:tblW w:type="dxa" w:w="8498"/>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1400"/>
        <w:gridCol w:w="7098"/>
      </w:tblGrid>
      <w:tr>
        <w:tc>
          <w:tcPr>
            <w:tcW w:type="dxa" w:w="1400"/>
            <w:shd w:fill="00689D" w:color="00689D" w:val="solid"/>
            <w:tcMar>
              <w:top w:type="dxa" w:w="120"/>
              <w:left w:type="dxa" w:w="120"/>
              <w:bottom w:type="dxa" w:w="120"/>
              <w:right w:type="dxa" w:w="120"/>
            </w:tcMar>
            <w:vAlign w:val="center"/>
          </w:tcPr>
          <w:p>
            <w:pPr>
              <w:jc w:val="center"/>
            </w:pPr>
            <w:r>
              <w:rPr>
                <w:b/>
                <w:bCs/>
                <w:color w:val="FFFFFF"/>
                <w:sz w:val="17"/>
                <w:szCs w:val="17"/>
              </w:rPr>
              <w:t xml:space="preserve">SDG 16</w:t>
            </w:r>
          </w:p>
        </w:tc>
        <w:tc>
          <w:tcPr>
            <w:tcW w:type="dxa" w:w="7098"/>
            <w:tcMar>
              <w:top w:type="dxa" w:w="120"/>
              <w:left w:type="dxa" w:w="120"/>
              <w:bottom w:type="dxa" w:w="120"/>
              <w:right w:type="dxa" w:w="120"/>
            </w:tcMar>
            <w:vAlign w:val="center"/>
          </w:tcPr>
          <w:p>
            <w:r>
              <w:rPr>
                <w:rFonts w:ascii="Arial" w:cs="Arial" w:eastAsia="Arial" w:hAnsi="Arial"/>
                <w:b/>
                <w:bCs/>
                <w:color w:val="00689D"/>
                <w:sz w:val="19"/>
                <w:szCs w:val="19"/>
              </w:rPr>
              <w:t xml:space="preserve">Peace &amp; Justice</w:t>
            </w:r>
          </w:p>
        </w:tc>
      </w:tr>
    </w:tbl>
    <w:tbl>
      <w:tblPr>
        <w:tblW w:type="dxa" w:w="8498"/>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1400"/>
        <w:gridCol w:w="7098"/>
      </w:tblGrid>
      <w:tr>
        <w:tc>
          <w:tcPr>
            <w:tcW w:type="dxa" w:w="1400"/>
            <w:shd w:fill="19486A" w:color="19486A" w:val="solid"/>
            <w:tcMar>
              <w:top w:type="dxa" w:w="120"/>
              <w:left w:type="dxa" w:w="120"/>
              <w:bottom w:type="dxa" w:w="120"/>
              <w:right w:type="dxa" w:w="120"/>
            </w:tcMar>
            <w:vAlign w:val="center"/>
          </w:tcPr>
          <w:p>
            <w:pPr>
              <w:jc w:val="center"/>
            </w:pPr>
            <w:r>
              <w:rPr>
                <w:b/>
                <w:bCs/>
                <w:color w:val="FFFFFF"/>
                <w:sz w:val="17"/>
                <w:szCs w:val="17"/>
              </w:rPr>
              <w:t xml:space="preserve">SDG 17</w:t>
            </w:r>
          </w:p>
        </w:tc>
        <w:tc>
          <w:tcPr>
            <w:tcW w:type="dxa" w:w="7098"/>
            <w:tcMar>
              <w:top w:type="dxa" w:w="120"/>
              <w:left w:type="dxa" w:w="120"/>
              <w:bottom w:type="dxa" w:w="120"/>
              <w:right w:type="dxa" w:w="120"/>
            </w:tcMar>
            <w:vAlign w:val="center"/>
          </w:tcPr>
          <w:p>
            <w:r>
              <w:rPr>
                <w:rFonts w:ascii="Arial" w:cs="Arial" w:eastAsia="Arial" w:hAnsi="Arial"/>
                <w:b/>
                <w:bCs/>
                <w:color w:val="19486A"/>
                <w:sz w:val="19"/>
                <w:szCs w:val="19"/>
              </w:rPr>
              <w:t xml:space="preserve">Partnerships</w:t>
            </w:r>
          </w:p>
        </w:tc>
      </w:tr>
    </w:tbl>
    <w:p>
      <w:pPr>
        <w:spacing w:before="115"/>
      </w:pPr>
      <w:r>
        <w:rPr>
          <w:sz w:val="2"/>
          <w:szCs w:val="2"/>
        </w:rPr>
        <w:t xml:space="preserve"> </w:t>
      </w:r>
    </w:p>
    <w:p>
      <w:pPr>
        <w:pStyle w:val="PolicyHeading"/>
        <w:pBdr>
          <w:bottom w:val="single" w:color="26323D" w:sz="4" w:space="1"/>
        </w:pBdr>
        <w:spacing w:after="180" w:before="260"/>
        <w:jc w:val="left"/>
      </w:pPr>
      <w:bookmarkStart w:name="standard-responsibilities" w:id="1"/>
      <w:bookmarkEnd w:id="1"/>
      <w:r>
        <w:rPr>
          <w:rFonts w:ascii="Arial" w:cs="Arial" w:eastAsia="Arial" w:hAnsi="Arial"/>
          <w:color w:val="69747B"/>
          <w:sz w:val="20"/>
          <w:szCs w:val="20"/>
        </w:rPr>
        <w:t xml:space="preserve">08   </w:t>
      </w:r>
      <w:r>
        <w:rPr>
          <w:rFonts w:ascii="Arial" w:cs="Arial" w:eastAsia="Arial" w:hAnsi="Arial"/>
          <w:b/>
          <w:bCs/>
          <w:color w:val="18232B"/>
          <w:sz w:val="30"/>
          <w:szCs w:val="30"/>
        </w:rPr>
        <w:t xml:space="preserve">Roles &amp; Responsibilities</w:t>
      </w:r>
    </w:p>
    <w:tbl>
      <w:tblPr>
        <w:tblW w:type="dxa" w:w="8498"/>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2573"/>
        <w:gridCol w:w="5925"/>
      </w:tblGrid>
      <w:tr>
        <w:trPr>
          <w:cantSplit/>
          <w:tblHeader/>
        </w:trPr>
        <w:tc>
          <w:tcPr>
            <w:tcW w:type="dxa" w:w="2573"/>
            <w:tcBorders>
              <w:top w:val="single" w:color="D8DEE2" w:sz="5" w:space="1"/>
              <w:left w:val="single" w:color="D8DEE2" w:sz="5" w:space="1"/>
              <w:bottom w:val="single" w:color="D8DEE2" w:sz="5" w:space="1"/>
              <w:right w:val="single" w:color="D8DEE2" w:sz="5" w:space="1"/>
            </w:tcBorders>
            <w:shd w:fill="26323D" w:color="26323D" w:val="solid"/>
            <w:tcMar>
              <w:top w:type="dxa" w:w="120"/>
              <w:left w:type="dxa" w:w="120"/>
              <w:bottom w:type="dxa" w:w="120"/>
              <w:right w:type="dxa" w:w="120"/>
            </w:tcMar>
            <w:vAlign w:val="center"/>
          </w:tcPr>
          <w:p>
            <w:r>
              <w:rPr>
                <w:b/>
                <w:bCs/>
                <w:color w:val="FFFFFF"/>
                <w:sz w:val="17"/>
                <w:szCs w:val="17"/>
              </w:rPr>
              <w:t xml:space="preserve">Role / Department</w:t>
            </w:r>
          </w:p>
        </w:tc>
        <w:tc>
          <w:tcPr>
            <w:tcW w:type="dxa" w:w="5925"/>
            <w:tcBorders>
              <w:top w:val="single" w:color="D8DEE2" w:sz="5" w:space="1"/>
              <w:left w:val="single" w:color="D8DEE2" w:sz="5" w:space="1"/>
              <w:bottom w:val="single" w:color="D8DEE2" w:sz="5" w:space="1"/>
              <w:right w:val="single" w:color="D8DEE2" w:sz="5" w:space="1"/>
            </w:tcBorders>
            <w:shd w:fill="26323D" w:color="26323D" w:val="solid"/>
            <w:tcMar>
              <w:top w:type="dxa" w:w="120"/>
              <w:left w:type="dxa" w:w="120"/>
              <w:bottom w:type="dxa" w:w="120"/>
              <w:right w:type="dxa" w:w="120"/>
            </w:tcMar>
            <w:vAlign w:val="center"/>
          </w:tcPr>
          <w:p>
            <w:r>
              <w:rPr>
                <w:b/>
                <w:bCs/>
                <w:color w:val="FFFFFF"/>
                <w:sz w:val="17"/>
                <w:szCs w:val="17"/>
              </w:rPr>
              <w:t xml:space="preserve">Responsibility</w:t>
            </w:r>
          </w:p>
        </w:tc>
      </w:tr>
      <w:tr>
        <w:trPr>
          <w:cantSplit/>
        </w:trPr>
        <w:tc>
          <w:tcPr>
            <w:tcW w:type="dxa" w:w="2573"/>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bCs/>
                <w:sz w:val="17"/>
                <w:szCs w:val="17"/>
              </w:rPr>
              <w:t xml:space="preserve">Procurement Team</w:t>
            </w:r>
          </w:p>
        </w:tc>
        <w:tc>
          <w:tcPr>
            <w:tcW w:type="dxa" w:w="5925"/>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Integrate ESG and sustainability criteria into supplier selection, contracting, and ongoing performance management.</w:t>
            </w:r>
          </w:p>
        </w:tc>
      </w:tr>
      <w:tr>
        <w:trPr>
          <w:cantSplit/>
        </w:trPr>
        <w:tc>
          <w:tcPr>
            <w:tcW w:type="dxa" w:w="2573"/>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bCs/>
                <w:sz w:val="17"/>
                <w:szCs w:val="17"/>
              </w:rPr>
              <w:t xml:space="preserve">Sustainability Team</w:t>
            </w:r>
          </w:p>
        </w:tc>
        <w:tc>
          <w:tcPr>
            <w:tcW w:type="dxa" w:w="5925"/>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Develop sustainable procurement standards, assist with supplier ESG evaluations, and track supply-chain targets.</w:t>
            </w:r>
          </w:p>
        </w:tc>
      </w:tr>
      <w:tr>
        <w:trPr>
          <w:cantSplit/>
        </w:trPr>
        <w:tc>
          <w:tcPr>
            <w:tcW w:type="dxa" w:w="2573"/>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bCs/>
                <w:sz w:val="17"/>
                <w:szCs w:val="17"/>
              </w:rPr>
              <w:t xml:space="preserve">Suppliers</w:t>
            </w:r>
          </w:p>
        </w:tc>
        <w:tc>
          <w:tcPr>
            <w:tcW w:type="dxa" w:w="5925"/>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Comply with the Supplier Code of Conduct, provide requested disclosures, and participate in sustainability audits.</w:t>
            </w:r>
          </w:p>
        </w:tc>
      </w:tr>
      <w:tr>
        <w:trPr>
          <w:cantSplit/>
        </w:trPr>
        <w:tc>
          <w:tcPr>
            <w:tcW w:type="dxa" w:w="2573"/>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bCs/>
                <w:sz w:val="17"/>
                <w:szCs w:val="17"/>
              </w:rPr>
              <w:t xml:space="preserve">Senior Management</w:t>
            </w:r>
          </w:p>
        </w:tc>
        <w:tc>
          <w:tcPr>
            <w:tcW w:type="dxa" w:w="5925"/>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Approve sustainable procurement commitments, allocate resources, and review supply chain risk reports.</w:t>
            </w:r>
          </w:p>
        </w:tc>
      </w:tr>
      <w:tr>
        <w:trPr>
          <w:cantSplit/>
        </w:trPr>
        <w:tc>
          <w:tcPr>
            <w:tcW w:type="dxa" w:w="2573"/>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bCs/>
                <w:sz w:val="17"/>
                <w:szCs w:val="17"/>
              </w:rPr>
              <w:t xml:space="preserve">All Employees</w:t>
            </w:r>
          </w:p>
        </w:tc>
        <w:tc>
          <w:tcPr>
            <w:tcW w:type="dxa" w:w="5925"/>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Adhere to responsible purchasing guidelines and support sustainable procurement practices.</w:t>
            </w:r>
          </w:p>
        </w:tc>
      </w:tr>
    </w:tbl>
    <w:p>
      <w:pPr>
        <w:spacing w:before="115"/>
      </w:pPr>
      <w:r>
        <w:rPr>
          <w:sz w:val="2"/>
          <w:szCs w:val="2"/>
        </w:rPr>
        <w:t xml:space="preserve"> </w:t>
      </w:r>
    </w:p>
    <w:p>
      <w:pPr>
        <w:pStyle w:val="PolicyHeading"/>
        <w:pBdr>
          <w:bottom w:val="single" w:color="26323D" w:sz="4" w:space="1"/>
        </w:pBdr>
        <w:spacing w:after="180" w:before="260"/>
        <w:jc w:val="left"/>
      </w:pPr>
      <w:bookmarkStart w:name="standard-monitoring" w:id="1"/>
      <w:bookmarkEnd w:id="1"/>
      <w:r>
        <w:rPr>
          <w:rFonts w:ascii="Arial" w:cs="Arial" w:eastAsia="Arial" w:hAnsi="Arial"/>
          <w:color w:val="69747B"/>
          <w:sz w:val="20"/>
          <w:szCs w:val="20"/>
        </w:rPr>
        <w:t xml:space="preserve">09   </w:t>
      </w:r>
      <w:r>
        <w:rPr>
          <w:rFonts w:ascii="Arial" w:cs="Arial" w:eastAsia="Arial" w:hAnsi="Arial"/>
          <w:b/>
          <w:bCs/>
          <w:color w:val="18232B"/>
          <w:sz w:val="30"/>
          <w:szCs w:val="30"/>
        </w:rPr>
        <w:t xml:space="preserve">Monitoring, Reporting &amp; Transparency</w:t>
      </w:r>
    </w:p>
    <w:p>
      <w:pPr>
        <w:pStyle w:val="PolicyBody"/>
        <w:spacing w:after="150" w:line="324"/>
        <w:jc w:val="both"/>
      </w:pPr>
      <w:r>
        <w:rPr>
          <w:rFonts w:ascii="Arial" w:cs="Arial" w:eastAsia="Arial" w:hAnsi="Arial"/>
          <w:sz w:val="21"/>
          <w:szCs w:val="21"/>
        </w:rPr>
        <w:t xml:space="preserve">Environmental performance is monitored continuously through a centralized EHS dashboard, with KPIs reviewed monthly by site leadership and quarterly by the Executive Committee. Independent third-party audits are conducted annually for ISO 14001 and as required by customers. Findings, progress against targets, and incidents are reported in the annual Sustainability Report prepared in line with GRI Standards and BRSR.</w:t>
      </w:r>
    </w:p>
    <w:p>
      <w:pPr>
        <w:spacing w:before="115"/>
      </w:pPr>
      <w:r>
        <w:rPr>
          <w:sz w:val="2"/>
          <w:szCs w:val="2"/>
        </w:rPr>
        <w:t xml:space="preserve"> </w:t>
      </w:r>
    </w:p>
    <w:p>
      <w:pPr>
        <w:pStyle w:val="PolicyHeading"/>
        <w:pBdr>
          <w:bottom w:val="single" w:color="26323D" w:sz="4" w:space="1"/>
        </w:pBdr>
        <w:spacing w:after="180" w:before="260"/>
        <w:jc w:val="left"/>
      </w:pPr>
      <w:bookmarkStart w:name="standard-review" w:id="1"/>
      <w:bookmarkEnd w:id="1"/>
      <w:r>
        <w:rPr>
          <w:rFonts w:ascii="Arial" w:cs="Arial" w:eastAsia="Arial" w:hAnsi="Arial"/>
          <w:color w:val="69747B"/>
          <w:sz w:val="20"/>
          <w:szCs w:val="20"/>
        </w:rPr>
        <w:t xml:space="preserve">10   </w:t>
      </w:r>
      <w:r>
        <w:rPr>
          <w:rFonts w:ascii="Arial" w:cs="Arial" w:eastAsia="Arial" w:hAnsi="Arial"/>
          <w:b/>
          <w:bCs/>
          <w:color w:val="18232B"/>
          <w:sz w:val="30"/>
          <w:szCs w:val="30"/>
        </w:rPr>
        <w:t xml:space="preserve">Review Mechanism &amp; Continuous Improvement</w:t>
      </w:r>
    </w:p>
    <w:p>
      <w:pPr>
        <w:pStyle w:val="PolicyBody"/>
        <w:spacing w:after="150" w:line="324"/>
        <w:jc w:val="both"/>
      </w:pPr>
      <w:r>
        <w:rPr>
          <w:rFonts w:ascii="Arial" w:cs="Arial" w:eastAsia="Arial" w:hAnsi="Arial"/>
          <w:sz w:val="21"/>
          <w:szCs w:val="21"/>
        </w:rPr>
        <w:t xml:space="preserve">This Policy is reviewed every two years or earlier if there are significant changes in operations, regulations, or stakeholder expectations. The EHS team initiates the review, the Executive Committee approves revisions, and updated versions are communicated to all employees and relevant stakeholders. Feedback collected through employee engagement, customer audits and investor dialogues is incorporated into each revision.</w:t>
      </w:r>
    </w:p>
    <w:p>
      <w:pPr>
        <w:spacing w:before="115"/>
      </w:pPr>
      <w:r>
        <w:rPr>
          <w:sz w:val="2"/>
          <w:szCs w:val="2"/>
        </w:rPr>
        <w:t xml:space="preserve"> </w:t>
      </w:r>
    </w:p>
    <w:p>
      <w:pPr>
        <w:spacing w:before="100"/>
      </w:pPr>
      <w:r>
        <w:rPr>
          <w:sz w:val="2"/>
          <w:szCs w:val="2"/>
        </w:rPr>
        <w:t xml:space="preserve"> </w:t>
      </w:r>
    </w:p>
    <w:p>
      <w:pPr>
        <w:spacing w:after="120" w:before="160"/>
      </w:pPr>
      <w:r>
        <w:rPr>
          <w:rFonts w:ascii="Arial" w:cs="Arial" w:eastAsia="Arial" w:hAnsi="Arial"/>
          <w:b/>
          <w:bCs/>
          <w:color w:val="18232B"/>
        </w:rPr>
        <w:t xml:space="preserve">Approved by: </w:t>
      </w:r>
      <w:r>
        <w:rPr>
          <w:rFonts w:ascii="Arial" w:cs="Arial" w:eastAsia="Arial" w:hAnsi="Arial"/>
        </w:rPr>
        <w:t xml:space="preserve">Managing Director</w:t>
      </w:r>
    </w:p>
    <w:p>
      <w:r>
        <w:br w:type="page"/>
      </w:r>
    </w:p>
    <w:p>
      <w:pPr>
        <w:spacing w:after="180"/>
        <w:jc w:val="left"/>
      </w:pPr>
      <w:bookmarkStart w:name="acknowledgement" w:id="1"/>
      <w:bookmarkEnd w:id="1"/>
      <w:r>
        <w:rPr>
          <w:rFonts w:ascii="Arial" w:cs="Arial" w:eastAsia="Arial" w:hAnsi="Arial"/>
          <w:b/>
          <w:bCs/>
          <w:i w:val="false"/>
          <w:iCs w:val="false"/>
          <w:color w:val="18232B"/>
          <w:sz w:val="36"/>
          <w:szCs w:val="36"/>
        </w:rPr>
        <w:t xml:space="preserve">Employee Acknowledgement Form</w:t>
      </w:r>
    </w:p>
    <w:p>
      <w:pPr>
        <w:spacing w:after="260" w:line="324"/>
        <w:jc w:val="both"/>
      </w:pPr>
      <w:r>
        <w:rPr>
          <w:rFonts w:ascii="Arial" w:cs="Arial" w:eastAsia="Arial" w:hAnsi="Arial"/>
          <w:sz w:val="21"/>
          <w:szCs w:val="21"/>
        </w:rPr>
        <w:t xml:space="preserve">I acknowledge that I have read and understood the Sustainable Procurement Policy of International Sustainable Procurement and Responsible Operations Group Limited and agree to uphold its commitments in my work.</w:t>
      </w:r>
    </w:p>
    <w:tbl>
      <w:tblPr>
        <w:tblW w:type="dxa" w:w="8498"/>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4249"/>
        <w:gridCol w:w="4249"/>
      </w:tblGrid>
      <w:tr>
        <w:trPr>
          <w:cantSplit/>
        </w:trPr>
        <w:tc>
          <w:tcPr>
            <w:tcW w:type="dxa" w:w="4249"/>
            <w:tcMar>
              <w:top w:type="dxa" w:w="120"/>
              <w:left w:type="dxa" w:w="140"/>
              <w:bottom w:type="dxa" w:w="120"/>
              <w:right w:type="dxa" w:w="140"/>
            </w:tcMar>
            <w:vAlign w:val="center"/>
          </w:tcPr>
          <w:p>
            <w:pPr>
              <w:spacing w:after="100"/>
            </w:pPr>
            <w:r>
              <w:rPr>
                <w:rFonts w:ascii="Arial" w:cs="Arial" w:eastAsia="Arial" w:hAnsi="Arial"/>
                <w:b/>
                <w:bCs/>
                <w:color w:val="69747B"/>
                <w:spacing w:val="35"/>
                <w:sz w:val="14"/>
                <w:szCs w:val="14"/>
              </w:rPr>
              <w:t xml:space="preserve">EMPLOYEE NAME</w:t>
            </w:r>
          </w:p>
          <w:p>
            <w:pPr>
              <w:pBdr>
                <w:bottom w:val="single" w:color="69747B" w:sz="6" w:space="1"/>
              </w:pBdr>
              <w:spacing w:after="170"/>
            </w:pPr>
            <w:r>
              <w:t xml:space="preserve"> </w:t>
            </w:r>
          </w:p>
        </w:tc>
        <w:tc>
          <w:tcPr>
            <w:tcW w:type="dxa" w:w="4249"/>
            <w:tcMar>
              <w:top w:type="dxa" w:w="120"/>
              <w:left w:type="dxa" w:w="140"/>
              <w:bottom w:type="dxa" w:w="120"/>
              <w:right w:type="dxa" w:w="140"/>
            </w:tcMar>
            <w:vAlign w:val="center"/>
          </w:tcPr>
          <w:p>
            <w:pPr>
              <w:spacing w:after="100"/>
            </w:pPr>
            <w:r>
              <w:rPr>
                <w:rFonts w:ascii="Arial" w:cs="Arial" w:eastAsia="Arial" w:hAnsi="Arial"/>
                <w:b/>
                <w:bCs/>
                <w:color w:val="69747B"/>
                <w:spacing w:val="35"/>
                <w:sz w:val="14"/>
                <w:szCs w:val="14"/>
              </w:rPr>
              <w:t xml:space="preserve">EMPLOYEE ID</w:t>
            </w:r>
          </w:p>
          <w:p>
            <w:pPr>
              <w:pBdr>
                <w:bottom w:val="single" w:color="69747B" w:sz="6" w:space="1"/>
              </w:pBdr>
              <w:spacing w:after="170"/>
            </w:pPr>
            <w:r>
              <w:t xml:space="preserve"> </w:t>
            </w:r>
          </w:p>
        </w:tc>
      </w:tr>
      <w:tr>
        <w:trPr>
          <w:cantSplit/>
        </w:trPr>
        <w:tc>
          <w:tcPr>
            <w:tcW w:type="dxa" w:w="4249"/>
            <w:tcMar>
              <w:top w:type="dxa" w:w="120"/>
              <w:left w:type="dxa" w:w="140"/>
              <w:bottom w:type="dxa" w:w="120"/>
              <w:right w:type="dxa" w:w="140"/>
            </w:tcMar>
            <w:vAlign w:val="center"/>
          </w:tcPr>
          <w:p>
            <w:pPr>
              <w:spacing w:after="100"/>
            </w:pPr>
            <w:r>
              <w:rPr>
                <w:rFonts w:ascii="Arial" w:cs="Arial" w:eastAsia="Arial" w:hAnsi="Arial"/>
                <w:b/>
                <w:bCs/>
                <w:color w:val="69747B"/>
                <w:spacing w:val="35"/>
                <w:sz w:val="14"/>
                <w:szCs w:val="14"/>
              </w:rPr>
              <w:t xml:space="preserve">DEPARTMENT</w:t>
            </w:r>
          </w:p>
          <w:p>
            <w:pPr>
              <w:pBdr>
                <w:bottom w:val="single" w:color="69747B" w:sz="6" w:space="1"/>
              </w:pBdr>
              <w:spacing w:after="170"/>
            </w:pPr>
            <w:r>
              <w:t xml:space="preserve"> </w:t>
            </w:r>
          </w:p>
        </w:tc>
        <w:tc>
          <w:tcPr>
            <w:tcW w:type="dxa" w:w="4249"/>
            <w:tcMar>
              <w:top w:type="dxa" w:w="120"/>
              <w:left w:type="dxa" w:w="140"/>
              <w:bottom w:type="dxa" w:w="120"/>
              <w:right w:type="dxa" w:w="140"/>
            </w:tcMar>
            <w:vAlign w:val="center"/>
          </w:tcPr>
          <w:p>
            <w:pPr>
              <w:spacing w:after="100"/>
            </w:pPr>
            <w:r>
              <w:rPr>
                <w:rFonts w:ascii="Arial" w:cs="Arial" w:eastAsia="Arial" w:hAnsi="Arial"/>
                <w:b/>
                <w:bCs/>
                <w:color w:val="69747B"/>
                <w:spacing w:val="35"/>
                <w:sz w:val="14"/>
                <w:szCs w:val="14"/>
              </w:rPr>
              <w:t xml:space="preserve">DATE</w:t>
            </w:r>
          </w:p>
          <w:p>
            <w:pPr>
              <w:pBdr>
                <w:bottom w:val="single" w:color="69747B" w:sz="6" w:space="1"/>
              </w:pBdr>
              <w:spacing w:after="170"/>
            </w:pPr>
            <w:r>
              <w:t xml:space="preserve"> </w:t>
            </w:r>
          </w:p>
        </w:tc>
      </w:tr>
      <w:tr>
        <w:trPr>
          <w:cantSplit/>
        </w:trPr>
        <w:tc>
          <w:tcPr>
            <w:tcW w:type="dxa" w:w="4249"/>
            <w:tcMar>
              <w:top w:type="dxa" w:w="120"/>
              <w:left w:type="dxa" w:w="140"/>
              <w:bottom w:type="dxa" w:w="120"/>
              <w:right w:type="dxa" w:w="140"/>
            </w:tcMar>
            <w:vAlign w:val="center"/>
          </w:tcPr>
          <w:p>
            <w:pPr>
              <w:spacing w:after="100"/>
            </w:pPr>
            <w:r>
              <w:rPr>
                <w:rFonts w:ascii="Arial" w:cs="Arial" w:eastAsia="Arial" w:hAnsi="Arial"/>
                <w:b/>
                <w:bCs/>
                <w:color w:val="69747B"/>
                <w:spacing w:val="35"/>
                <w:sz w:val="14"/>
                <w:szCs w:val="14"/>
              </w:rPr>
              <w:t xml:space="preserve">SIGNATURE</w:t>
            </w:r>
          </w:p>
          <w:p>
            <w:pPr>
              <w:pBdr>
                <w:bottom w:val="single" w:color="69747B" w:sz="6" w:space="1"/>
              </w:pBdr>
              <w:spacing w:after="260"/>
            </w:pPr>
            <w:r>
              <w:t xml:space="preserve"> </w:t>
            </w:r>
          </w:p>
        </w:tc>
        <w:tc>
          <w:tcPr>
            <w:tcW w:type="dxa" w:w="4249"/>
            <w:tcMar>
              <w:top w:type="dxa" w:w="120"/>
              <w:left w:type="dxa" w:w="120"/>
              <w:bottom w:type="dxa" w:w="120"/>
              <w:right w:type="dxa" w:w="120"/>
            </w:tcMar>
            <w:vAlign w:val="center"/>
          </w:tcPr>
          <w:p>
            <w:r>
              <w:t xml:space="preserve"/>
            </w:r>
          </w:p>
        </w:tc>
      </w:tr>
    </w:tbl>
    <w:sectPr>
      <w:headerReference w:type="default" r:id="rId7"/>
      <w:headerReference w:type="first" r:id="rId8"/>
      <w:footerReference w:type="default" r:id="rId9"/>
      <w:footerReference w:type="first" r:id="rId10"/>
      <w:pgSz w:w="11906" w:h="16838" w:orient="portrait"/>
      <w:pgMar w:top="1704" w:right="1704" w:bottom="1704" w:left="1704" w:header="708" w:footer="708" w:gutter="0"/>
      <w:pgBorders w:display="allPages" w:offsetFrom="text">
        <w:top w:val="single" w:color="26323D" w:sz="48" w:space="29"/>
        <w:left w:val="single" w:color="26323D" w:sz="48" w:space="29"/>
        <w:bottom w:val="single" w:color="26323D" w:sz="48" w:space="29"/>
        <w:right w:val="single" w:color="26323D" w:sz="48" w:space="29"/>
      </w:pgBorders>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EE2" w:sz="5" w:space="1"/>
      </w:pBdr>
      <w:spacing w:before="80"/>
      <w:jc w:val="left"/>
    </w:pPr>
    <w:r>
      <w:rPr>
        <w:rFonts w:ascii="Arial" w:cs="Arial" w:eastAsia="Arial" w:hAnsi="Arial"/>
        <w:i w:val="false"/>
        <w:iCs w:val="false"/>
        <w:color w:val="69747B"/>
        <w:sz w:val="14"/>
        <w:szCs w:val="14"/>
      </w:rPr>
      <w:t xml:space="preserve">Effective 2025-01-15   -   Revision 01   -   Page </w:t>
    </w:r>
    <w:r>
      <w:rPr>
        <w:rFonts w:ascii="Arial" w:cs="Arial" w:eastAsia="Arial" w:hAnsi="Arial"/>
        <w:color w:val="69747B"/>
        <w:sz w:val="14"/>
        <w:szCs w:val="1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pPr>
    <w:r>
      <w:drawing>
        <wp:anchor distT="0" distB="0" distL="0" distR="0" simplePos="0" allowOverlap="1" behindDoc="1" locked="1" layoutInCell="0" relativeHeight="10696575">
          <wp:simplePos x="0" y="0"/>
          <wp:positionH relativeFrom="page">
            <wp:align>center</wp:align>
          </wp:positionH>
          <wp:positionV relativeFrom="page">
            <wp:align>center</wp:align>
          </wp:positionV>
          <wp:extent cx="7562850" cy="10696575"/>
          <wp:effectExtent t="0" r="0" b="0" l="0"/>
          <wp:wrapNone/>
          <wp:docPr id="1" name="Document page background" descr="Theme-colored page background" title="Document pag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extLst>
                      <a:ext uri="{96DAC541-7B7A-43D3-8B79-37D633B846F1}">
                        <asvg:svgBlip xmlns:asvg="http://schemas.microsoft.com/office/drawing/2016/SVG/main" r:embed="rId0"/>
                      </a:ext>
                    </a:extLst>
                  </a:blip>
                  <a:srcRect/>
                  <a:stretch>
                    <a:fillRect/>
                  </a:stretch>
                </pic:blipFill>
                <pic:spPr bwMode="auto">
                  <a:xfrm>
                    <a:off x="0" y="0"/>
                    <a:ext cx="7562850" cy="10696575"/>
                  </a:xfrm>
                  <a:prstGeom prst="rect">
                    <a:avLst/>
                  </a:prstGeom>
                </pic:spPr>
              </pic:pic>
            </a:graphicData>
          </a:graphic>
        </wp:anchor>
      </w:drawing>
    </w:r>
  </w:p>
  <w:p>
    <w:pPr>
      <w:pBdr>
        <w:bottom w:val="single" w:color="D8DEE2" w:sz="5" w:space="1"/>
      </w:pBdr>
      <w:spacing w:after="60"/>
      <w:jc w:val="left"/>
    </w:pPr>
    <w:r>
      <w:rPr>
        <w:rFonts w:ascii="Arial" w:cs="Arial" w:eastAsia="Arial" w:hAnsi="Arial"/>
        <w:b/>
        <w:bCs/>
        <w:color w:val="69747B"/>
        <w:spacing w:val="20"/>
        <w:sz w:val="14"/>
        <w:szCs w:val="14"/>
      </w:rPr>
      <w:t xml:space="preserve">International Sustainable Procurement and Responsible Operations Group Limited</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pPr>
    <w:r>
      <w:drawing>
        <wp:anchor distT="0" distB="0" distL="0" distR="0" simplePos="0" allowOverlap="1" behindDoc="1" locked="1" layoutInCell="0" relativeHeight="10696575">
          <wp:simplePos x="0" y="0"/>
          <wp:positionH relativeFrom="page">
            <wp:align>center</wp:align>
          </wp:positionH>
          <wp:positionV relativeFrom="page">
            <wp:align>center</wp:align>
          </wp:positionV>
          <wp:extent cx="7562850" cy="10696575"/>
          <wp:effectExtent t="0" r="0" b="0" l="0"/>
          <wp:wrapNone/>
          <wp:docPr id="1" name="Document page background" descr="Theme-colored page background" title="Document pag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extLst>
                      <a:ext uri="{96DAC541-7B7A-43D3-8B79-37D633B846F1}">
                        <asvg:svgBlip xmlns:asvg="http://schemas.microsoft.com/office/drawing/2016/SVG/main" r:embed="rId0"/>
                      </a:ext>
                    </a:extLst>
                  </a:blip>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90" w:line="324"/>
        <w:ind w:left="420" w:hanging="220"/>
      </w:pPr>
      <w:rPr>
        <w:rFonts w:ascii="Arial" w:cs="Arial" w:eastAsia="Arial" w:hAnsi="Arial"/>
        <w:color w:val="26323D"/>
      </w:rPr>
    </w:lvl>
  </w:abstractNum>
  <w:abstractNum w:abstractNumId="3" w15:restartNumberingAfterBreak="0">
    <w:multiLevelType w:val="hybridMultilevel"/>
    <w:lvl w:ilvl="0" w15:tentative="1">
      <w:start w:val="1"/>
      <w:numFmt w:val="decimal"/>
      <w:lvlText w:val="%1."/>
      <w:lvlJc w:val="left"/>
      <w:pPr>
        <w:spacing w:after="90" w:line="324"/>
        <w:ind w:left="420" w:hanging="220"/>
      </w:pPr>
      <w:rPr>
        <w:rFonts w:ascii="Arial" w:cs="Arial" w:eastAsia="Arial" w:hAnsi="Arial"/>
        <w:b/>
        <w:bCs/>
        <w:color w:val="26323D"/>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D252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PolicyHeading">
    <w:name w:val="Policy Heading"/>
    <w:basedOn w:val="Normal"/>
    <w:next w:val="PolicyBody"/>
    <w:qFormat/>
    <w:pPr>
      <w:keepNext/>
      <w:spacing w:after="148" w:before="246"/>
    </w:pPr>
    <w:rPr>
      <w:rFonts w:ascii="Arial" w:cs="Arial" w:eastAsia="Arial" w:hAnsi="Arial"/>
      <w:b/>
      <w:bCs/>
      <w:color w:val="18232B"/>
      <w:sz w:val="30"/>
      <w:szCs w:val="30"/>
    </w:rPr>
  </w:style>
  <w:style w:type="paragraph" w:styleId="PolicyBody">
    <w:name w:val="Policy Body"/>
    <w:basedOn w:val="Normal"/>
    <w:next w:val="PolicyBody"/>
    <w:qFormat/>
    <w:pPr>
      <w:spacing w:after="123" w:line="324"/>
    </w:pPr>
    <w:rPr>
      <w:rFonts w:ascii="Arial" w:cs="Arial" w:eastAsia="Arial" w:hAnsi="Arial"/>
      <w:color w:val="1D252B"/>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3b22fdeee33714c1c19c59764d7db79ac83e530c.svg"/><Relationship Id="rId1" Type="http://schemas.openxmlformats.org/officeDocument/2006/relationships/image" Target="media/0dbace57ad3772199fe571a94f2bf8e23f010b83.png"/></Relationships>
</file>

<file path=word/_rels/header2.xml.rels><?xml version="1.0" encoding="UTF-8"?><Relationships xmlns="http://schemas.openxmlformats.org/package/2006/relationships"><Relationship Id="rId0" Type="http://schemas.openxmlformats.org/officeDocument/2006/relationships/image" Target="media/3b22fdeee33714c1c19c59764d7db79ac83e530c.svg"/><Relationship Id="rId1" Type="http://schemas.openxmlformats.org/officeDocument/2006/relationships/image" Target="media/0dbace57ad3772199fe571a94f2bf8e23f010b8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Sustainable Procurement Policy - International Sustainable Procurement and Responsible Operations Group Limited</dc:title>
  <dc:creator>PolicyCraft</dc:creator>
  <cp:lastModifiedBy>Un-named</cp:lastModifiedBy>
  <cp:revision>1</cp:revision>
  <dcterms:created xsi:type="dcterms:W3CDTF">2026-09-08T05:36:44.102Z</dcterms:created>
  <dcterms:modified xsi:type="dcterms:W3CDTF">2026-09-08T05:36:44.102Z</dcterms:modified>
</cp:coreProperties>
</file>

<file path=docProps/custom.xml><?xml version="1.0" encoding="utf-8"?>
<Properties xmlns="http://schemas.openxmlformats.org/officeDocument/2006/custom-properties" xmlns:vt="http://schemas.openxmlformats.org/officeDocument/2006/docPropsVTypes"/>
</file>