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9747B"/>
          <w:sz w:val="25"/>
          <w:szCs w:val="25"/>
        </w:rPr>
        <w:t xml:space="preserve">Acme Specialty Chemicals Pvt. Ltd.</w:t>
      </w:r>
    </w:p>
    <w:p>
      <w:pPr>
        <w:spacing w:before="2381"/>
      </w:pPr>
      <w:r>
        <w:rPr>
          <w:sz w:val="2"/>
          <w:szCs w:val="2"/>
        </w:rPr>
        <w:t xml:space="preserve"> </w:t>
      </w:r>
    </w:p>
    <w:p>
      <w:pPr>
        <w:spacing w:after="140"/>
        <w:jc w:val="left"/>
      </w:pPr>
      <w:r>
        <w:rPr>
          <w:rFonts w:ascii="Arial" w:cs="Arial" w:eastAsia="Arial" w:hAnsi="Arial"/>
          <w:b/>
          <w:bCs/>
          <w:color w:val="18232B"/>
          <w:sz w:val="64"/>
          <w:szCs w:val="64"/>
        </w:rPr>
        <w:t xml:space="preserve">Environmental Policy</w:t>
      </w:r>
    </w:p>
    <w:p>
      <w:pPr>
        <w:pBdr>
          <w:bottom w:val="single" w:color="26323D" w:sz="6" w:space="1"/>
        </w:pBdr>
        <w:spacing w:after="360"/>
      </w:pPr>
    </w:p>
    <w:p>
      <w:pPr>
        <w:spacing w:before="900"/>
      </w:pPr>
      <w:r>
        <w:rPr>
          <w:sz w:val="2"/>
          <w:szCs w:val="2"/>
        </w:rPr>
        <w:t xml:space="preserve"> </w:t>
      </w:r>
    </w:p>
    <w:p>
      <w:pPr>
        <w:pBdr>
          <w:top w:val="single" w:color="D8DE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DOCUMENT NO.</w:t>
            </w:r>
          </w:p>
          <w:p>
            <w:pPr>
              <w:spacing w:after="180"/>
            </w:pPr>
            <w:r>
              <w:rPr>
                <w:rFonts w:ascii="Arial" w:cs="Arial" w:eastAsia="Arial" w:hAnsi="Arial"/>
                <w:color w:val="6974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EFFECTIVE DATE</w:t>
            </w:r>
          </w:p>
          <w:p>
            <w:pPr>
              <w:spacing w:after="180"/>
            </w:pPr>
            <w:r>
              <w:rPr>
                <w:rFonts w:ascii="Arial" w:cs="Arial" w:eastAsia="Arial" w:hAnsi="Arial"/>
                <w:color w:val="6974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REVISION</w:t>
            </w:r>
          </w:p>
          <w:p>
            <w:pPr>
              <w:spacing w:after="180"/>
            </w:pPr>
            <w:r>
              <w:rPr>
                <w:rFonts w:ascii="Arial" w:cs="Arial" w:eastAsia="Arial" w:hAnsi="Arial"/>
                <w:color w:val="6974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NEXT REVIEW</w:t>
            </w:r>
          </w:p>
          <w:p>
            <w:pPr>
              <w:spacing w:after="180"/>
            </w:pPr>
            <w:r>
              <w:rPr>
                <w:rFonts w:ascii="Arial" w:cs="Arial" w:eastAsia="Arial" w:hAnsi="Arial"/>
                <w:color w:val="69747B"/>
                <w:sz w:val="20"/>
                <w:szCs w:val="20"/>
              </w:rPr>
              <w:t xml:space="preserve">2027-01-14</w:t>
            </w:r>
          </w:p>
        </w:tc>
      </w:tr>
    </w:tbl>
    <w:p>
      <w:r>
        <w:br w:type="page"/>
      </w:r>
    </w:p>
    <w:p>
      <w:pPr>
        <w:pStyle w:val="PolicyHeading"/>
        <w:spacing w:after="360"/>
        <w:jc w:val="left"/>
      </w:pPr>
      <w:r>
        <w:t xml:space="preserve">Contents</w:t>
      </w:r>
    </w:p>
    <w:p>
      <w:pPr>
        <w:pBdr>
          <w:bottom w:val="dotted" w:color="D8DEE2" w:sz="3" w:space="1"/>
        </w:pBdr>
        <w:spacing w:after="95" w:before="60"/>
      </w:pPr>
      <w:hyperlink w:history="1" w:anchor="standard-preface">
        <w:r>
          <w:rPr>
            <w:rFonts w:ascii="Arial" w:cs="Arial" w:eastAsia="Arial" w:hAnsi="Arial"/>
            <w:b/>
            <w:bCs/>
            <w:color w:val="26323D"/>
            <w:sz w:val="20"/>
            <w:szCs w:val="20"/>
          </w:rPr>
          <w:t xml:space="preserve">01   </w:t>
        </w:r>
        <w:r>
          <w:rPr>
            <w:rFonts w:ascii="Arial" w:cs="Arial" w:eastAsia="Arial" w:hAnsi="Arial"/>
            <w:color w:val="18232B"/>
            <w:sz w:val="20"/>
            <w:szCs w:val="20"/>
          </w:rPr>
          <w:t xml:space="preserve">Preface</w:t>
        </w:r>
      </w:hyperlink>
    </w:p>
    <w:p>
      <w:pPr>
        <w:pBdr>
          <w:bottom w:val="dotted" w:color="D8DEE2" w:sz="3" w:space="1"/>
        </w:pBdr>
        <w:spacing w:after="95" w:before="60"/>
      </w:pPr>
      <w:hyperlink w:history="1" w:anchor="standard-declaration">
        <w:r>
          <w:rPr>
            <w:rFonts w:ascii="Arial" w:cs="Arial" w:eastAsia="Arial" w:hAnsi="Arial"/>
            <w:b/>
            <w:bCs/>
            <w:color w:val="26323D"/>
            <w:sz w:val="20"/>
            <w:szCs w:val="20"/>
          </w:rPr>
          <w:t xml:space="preserve">02   </w:t>
        </w:r>
        <w:r>
          <w:rPr>
            <w:rFonts w:ascii="Arial" w:cs="Arial" w:eastAsia="Arial" w:hAnsi="Arial"/>
            <w:color w:val="18232B"/>
            <w:sz w:val="20"/>
            <w:szCs w:val="20"/>
          </w:rPr>
          <w:t xml:space="preserve">Policy Declaration</w:t>
        </w:r>
      </w:hyperlink>
    </w:p>
    <w:p>
      <w:pPr>
        <w:pBdr>
          <w:bottom w:val="dotted" w:color="D8DEE2" w:sz="3" w:space="1"/>
        </w:pBdr>
        <w:spacing w:after="95" w:before="60"/>
      </w:pPr>
      <w:hyperlink w:history="1" w:anchor="standard-scope">
        <w:r>
          <w:rPr>
            <w:rFonts w:ascii="Arial" w:cs="Arial" w:eastAsia="Arial" w:hAnsi="Arial"/>
            <w:b/>
            <w:bCs/>
            <w:color w:val="26323D"/>
            <w:sz w:val="20"/>
            <w:szCs w:val="20"/>
          </w:rPr>
          <w:t xml:space="preserve">03   </w:t>
        </w:r>
        <w:r>
          <w:rPr>
            <w:rFonts w:ascii="Arial" w:cs="Arial" w:eastAsia="Arial" w:hAnsi="Arial"/>
            <w:color w:val="18232B"/>
            <w:sz w:val="20"/>
            <w:szCs w:val="20"/>
          </w:rPr>
          <w:t xml:space="preserve">Scope</w:t>
        </w:r>
      </w:hyperlink>
    </w:p>
    <w:p>
      <w:pPr>
        <w:pBdr>
          <w:bottom w:val="dotted" w:color="D8DEE2" w:sz="3" w:space="1"/>
        </w:pBdr>
        <w:spacing w:after="95" w:before="60"/>
      </w:pPr>
      <w:hyperlink w:history="1" w:anchor="standard-focus">
        <w:r>
          <w:rPr>
            <w:rFonts w:ascii="Arial" w:cs="Arial" w:eastAsia="Arial" w:hAnsi="Arial"/>
            <w:b/>
            <w:bCs/>
            <w:color w:val="26323D"/>
            <w:sz w:val="20"/>
            <w:szCs w:val="20"/>
          </w:rPr>
          <w:t xml:space="preserve">04   </w:t>
        </w:r>
        <w:r>
          <w:rPr>
            <w:rFonts w:ascii="Arial" w:cs="Arial" w:eastAsia="Arial" w:hAnsi="Arial"/>
            <w:color w:val="18232B"/>
            <w:sz w:val="20"/>
            <w:szCs w:val="20"/>
          </w:rPr>
          <w:t xml:space="preserve">Key Focus Areas</w:t>
        </w:r>
      </w:hyperlink>
    </w:p>
    <w:p>
      <w:pPr>
        <w:pBdr>
          <w:bottom w:val="dotted" w:color="D8DEE2" w:sz="3" w:space="1"/>
        </w:pBdr>
        <w:spacing w:after="95" w:before="60"/>
      </w:pPr>
      <w:hyperlink w:history="1" w:anchor="standard-qualitative">
        <w:r>
          <w:rPr>
            <w:rFonts w:ascii="Arial" w:cs="Arial" w:eastAsia="Arial" w:hAnsi="Arial"/>
            <w:b/>
            <w:bCs/>
            <w:color w:val="26323D"/>
            <w:sz w:val="20"/>
            <w:szCs w:val="20"/>
          </w:rPr>
          <w:t xml:space="preserve">05   </w:t>
        </w:r>
        <w:r>
          <w:rPr>
            <w:rFonts w:ascii="Arial" w:cs="Arial" w:eastAsia="Arial" w:hAnsi="Arial"/>
            <w:color w:val="18232B"/>
            <w:sz w:val="20"/>
            <w:szCs w:val="20"/>
          </w:rPr>
          <w:t xml:space="preserve">Qualitative Objectives</w:t>
        </w:r>
      </w:hyperlink>
    </w:p>
    <w:p>
      <w:pPr>
        <w:pBdr>
          <w:bottom w:val="dotted" w:color="D8DEE2" w:sz="3" w:space="1"/>
        </w:pBdr>
        <w:spacing w:after="95" w:before="60"/>
      </w:pPr>
      <w:hyperlink w:history="1" w:anchor="standard-quantitative">
        <w:r>
          <w:rPr>
            <w:rFonts w:ascii="Arial" w:cs="Arial" w:eastAsia="Arial" w:hAnsi="Arial"/>
            <w:b/>
            <w:bCs/>
            <w:color w:val="26323D"/>
            <w:sz w:val="20"/>
            <w:szCs w:val="20"/>
          </w:rPr>
          <w:t xml:space="preserve">06   </w:t>
        </w:r>
        <w:r>
          <w:rPr>
            <w:rFonts w:ascii="Arial" w:cs="Arial" w:eastAsia="Arial" w:hAnsi="Arial"/>
            <w:color w:val="18232B"/>
            <w:sz w:val="20"/>
            <w:szCs w:val="20"/>
          </w:rPr>
          <w:t xml:space="preserve">Quantitative Targets</w:t>
        </w:r>
      </w:hyperlink>
    </w:p>
    <w:p>
      <w:pPr>
        <w:pBdr>
          <w:bottom w:val="dotted" w:color="D8DEE2" w:sz="3" w:space="1"/>
        </w:pBdr>
        <w:spacing w:after="95" w:before="60"/>
      </w:pPr>
      <w:hyperlink w:history="1" w:anchor="standard-sdg">
        <w:r>
          <w:rPr>
            <w:rFonts w:ascii="Arial" w:cs="Arial" w:eastAsia="Arial" w:hAnsi="Arial"/>
            <w:b/>
            <w:bCs/>
            <w:color w:val="26323D"/>
            <w:sz w:val="20"/>
            <w:szCs w:val="20"/>
          </w:rPr>
          <w:t xml:space="preserve">07   </w:t>
        </w:r>
        <w:r>
          <w:rPr>
            <w:rFonts w:ascii="Arial" w:cs="Arial" w:eastAsia="Arial" w:hAnsi="Arial"/>
            <w:color w:val="18232B"/>
            <w:sz w:val="20"/>
            <w:szCs w:val="20"/>
          </w:rPr>
          <w:t xml:space="preserve">SDG Alignment</w:t>
        </w:r>
      </w:hyperlink>
    </w:p>
    <w:p>
      <w:pPr>
        <w:pBdr>
          <w:bottom w:val="dotted" w:color="D8DEE2" w:sz="3" w:space="1"/>
        </w:pBdr>
        <w:spacing w:after="95" w:before="60"/>
      </w:pPr>
      <w:hyperlink w:history="1" w:anchor="standard-responsibilities">
        <w:r>
          <w:rPr>
            <w:rFonts w:ascii="Arial" w:cs="Arial" w:eastAsia="Arial" w:hAnsi="Arial"/>
            <w:b/>
            <w:bCs/>
            <w:color w:val="26323D"/>
            <w:sz w:val="20"/>
            <w:szCs w:val="20"/>
          </w:rPr>
          <w:t xml:space="preserve">08   </w:t>
        </w:r>
        <w:r>
          <w:rPr>
            <w:rFonts w:ascii="Arial" w:cs="Arial" w:eastAsia="Arial" w:hAnsi="Arial"/>
            <w:color w:val="18232B"/>
            <w:sz w:val="20"/>
            <w:szCs w:val="20"/>
          </w:rPr>
          <w:t xml:space="preserve">Roles &amp; Responsibilities</w:t>
        </w:r>
      </w:hyperlink>
    </w:p>
    <w:p>
      <w:pPr>
        <w:pBdr>
          <w:bottom w:val="dotted" w:color="D8DEE2" w:sz="3" w:space="1"/>
        </w:pBdr>
        <w:spacing w:after="95" w:before="60"/>
      </w:pPr>
      <w:hyperlink w:history="1" w:anchor="standard-monitoring">
        <w:r>
          <w:rPr>
            <w:rFonts w:ascii="Arial" w:cs="Arial" w:eastAsia="Arial" w:hAnsi="Arial"/>
            <w:b/>
            <w:bCs/>
            <w:color w:val="26323D"/>
            <w:sz w:val="20"/>
            <w:szCs w:val="20"/>
          </w:rPr>
          <w:t xml:space="preserve">09   </w:t>
        </w:r>
        <w:r>
          <w:rPr>
            <w:rFonts w:ascii="Arial" w:cs="Arial" w:eastAsia="Arial" w:hAnsi="Arial"/>
            <w:color w:val="18232B"/>
            <w:sz w:val="20"/>
            <w:szCs w:val="20"/>
          </w:rPr>
          <w:t xml:space="preserve">Monitoring, Reporting &amp; Transparency</w:t>
        </w:r>
      </w:hyperlink>
    </w:p>
    <w:p>
      <w:pPr>
        <w:pBdr>
          <w:bottom w:val="dotted" w:color="D8DEE2" w:sz="3" w:space="1"/>
        </w:pBdr>
        <w:spacing w:after="95" w:before="60"/>
      </w:pPr>
      <w:hyperlink w:history="1" w:anchor="standard-review">
        <w:r>
          <w:rPr>
            <w:rFonts w:ascii="Arial" w:cs="Arial" w:eastAsia="Arial" w:hAnsi="Arial"/>
            <w:b/>
            <w:bCs/>
            <w:color w:val="26323D"/>
            <w:sz w:val="20"/>
            <w:szCs w:val="20"/>
          </w:rPr>
          <w:t xml:space="preserve">10   </w:t>
        </w:r>
        <w:r>
          <w:rPr>
            <w:rFonts w:ascii="Arial" w:cs="Arial" w:eastAsia="Arial" w:hAnsi="Arial"/>
            <w:color w:val="18232B"/>
            <w:sz w:val="20"/>
            <w:szCs w:val="20"/>
          </w:rPr>
          <w:t xml:space="preserve">Review Mechanism &amp; Continuous Improvement</w:t>
        </w:r>
      </w:hyperlink>
    </w:p>
    <w:p>
      <w:r>
        <w:br w:type="page"/>
      </w:r>
    </w:p>
    <w:p>
      <w:pPr>
        <w:pStyle w:val="PolicyHeading"/>
        <w:pBdr>
          <w:bottom w:val="single" w:color="26323D" w:sz="4" w:space="1"/>
        </w:pBdr>
        <w:spacing w:after="180" w:before="260"/>
        <w:jc w:val="left"/>
      </w:pPr>
      <w:bookmarkStart w:name="standard-preface" w:id="1"/>
      <w:bookmarkEnd w:id="1"/>
      <w:r>
        <w:rPr>
          <w:rFonts w:ascii="Arial" w:cs="Arial" w:eastAsia="Arial" w:hAnsi="Arial"/>
          <w:color w:val="69747B"/>
          <w:sz w:val="20"/>
          <w:szCs w:val="20"/>
        </w:rPr>
        <w:t xml:space="preserve">01   </w:t>
      </w:r>
      <w:r>
        <w:rPr>
          <w:rFonts w:ascii="Arial" w:cs="Arial" w:eastAsia="Arial" w:hAnsi="Arial"/>
          <w:b/>
          <w:bCs/>
          <w:color w:val="18232B"/>
          <w:sz w:val="30"/>
          <w:szCs w:val="30"/>
        </w:rPr>
        <w:t xml:space="preserve">Preface</w:t>
      </w:r>
    </w:p>
    <w:p>
      <w:pPr>
        <w:pStyle w:val="PolicyBody"/>
        <w:spacing w:after="150" w:line="324"/>
        <w:jc w:val="both"/>
      </w:pPr>
      <w:r>
        <w:rPr>
          <w:rFonts w:ascii="Arial" w:cs="Arial" w:eastAsia="Arial" w:hAnsi="Arial"/>
          <w:sz w:val="21"/>
          <w:szCs w:val="21"/>
        </w:rPr>
        <w:t xml:space="preserve">Acme Specialty Chemicals Pvt. Ltd. is committed to environmental stewardship across every facility, process and product. As a manufacturer of specialty intermediates, we recognize our responsibility to minimize ecological impact, conserve natural resources and operate in line with internationally recognized environmental standards. This Environmental Policy establishes the framework through which we set objectives, allocate resources and measure progress toward a more sustainable future.</w:t>
      </w:r>
    </w:p>
    <w:p>
      <w:pPr>
        <w:spacing w:before="115"/>
      </w:pPr>
      <w:r>
        <w:rPr>
          <w:sz w:val="2"/>
          <w:szCs w:val="2"/>
        </w:rPr>
        <w:t xml:space="preserve"> </w:t>
      </w:r>
    </w:p>
    <w:p>
      <w:pPr>
        <w:pStyle w:val="PolicyHeading"/>
        <w:pBdr>
          <w:bottom w:val="single" w:color="26323D" w:sz="4" w:space="1"/>
        </w:pBdr>
        <w:spacing w:after="180" w:before="260"/>
        <w:jc w:val="left"/>
      </w:pPr>
      <w:bookmarkStart w:name="standard-declaration" w:id="1"/>
      <w:bookmarkEnd w:id="1"/>
      <w:r>
        <w:rPr>
          <w:rFonts w:ascii="Arial" w:cs="Arial" w:eastAsia="Arial" w:hAnsi="Arial"/>
          <w:color w:val="69747B"/>
          <w:sz w:val="20"/>
          <w:szCs w:val="20"/>
        </w:rPr>
        <w:t xml:space="preserve">02   </w:t>
      </w:r>
      <w:r>
        <w:rPr>
          <w:rFonts w:ascii="Arial" w:cs="Arial" w:eastAsia="Arial" w:hAnsi="Arial"/>
          <w:b/>
          <w:bCs/>
          <w:color w:val="18232B"/>
          <w:sz w:val="30"/>
          <w:szCs w:val="30"/>
        </w:rPr>
        <w:t xml:space="preserve">Policy Declaration</w:t>
      </w:r>
    </w:p>
    <w:p>
      <w:pPr>
        <w:pStyle w:val="PolicyBody"/>
        <w:spacing w:after="150" w:line="324"/>
        <w:jc w:val="both"/>
      </w:pPr>
      <w:r>
        <w:rPr>
          <w:rFonts w:ascii="Arial" w:cs="Arial" w:eastAsia="Arial" w:hAnsi="Arial"/>
          <w:sz w:val="21"/>
          <w:szCs w:val="21"/>
        </w:rPr>
        <w:t xml:space="preserve">Acme Specialty Chemicals affirms its unwavering commitment to protecting the environment, preventing pollution, and continually improving its environmental performance. The Company will comply with all applicable legal requirements, reduce its carbon and water intensity, manage waste responsibly, and integrate environmental considerations into every business decision.</w:t>
      </w:r>
    </w:p>
    <w:p>
      <w:pPr>
        <w:spacing w:before="115"/>
      </w:pPr>
      <w:r>
        <w:rPr>
          <w:sz w:val="2"/>
          <w:szCs w:val="2"/>
        </w:rPr>
        <w:t xml:space="preserve"> </w:t>
      </w:r>
    </w:p>
    <w:p>
      <w:pPr>
        <w:pStyle w:val="PolicyHeading"/>
        <w:pBdr>
          <w:bottom w:val="single" w:color="26323D" w:sz="4" w:space="1"/>
        </w:pBdr>
        <w:spacing w:after="180" w:before="260"/>
        <w:jc w:val="left"/>
      </w:pPr>
      <w:bookmarkStart w:name="standard-scope" w:id="1"/>
      <w:bookmarkEnd w:id="1"/>
      <w:r>
        <w:rPr>
          <w:rFonts w:ascii="Arial" w:cs="Arial" w:eastAsia="Arial" w:hAnsi="Arial"/>
          <w:color w:val="69747B"/>
          <w:sz w:val="20"/>
          <w:szCs w:val="20"/>
        </w:rPr>
        <w:t xml:space="preserve">03   </w:t>
      </w:r>
      <w:r>
        <w:rPr>
          <w:rFonts w:ascii="Arial" w:cs="Arial" w:eastAsia="Arial" w:hAnsi="Arial"/>
          <w:b/>
          <w:bCs/>
          <w:color w:val="18232B"/>
          <w:sz w:val="30"/>
          <w:szCs w:val="30"/>
        </w:rPr>
        <w:t xml:space="preserve">Scope</w:t>
      </w:r>
    </w:p>
    <w:p>
      <w:pPr>
        <w:pStyle w:val="PolicyBody"/>
        <w:spacing w:after="150" w:line="324"/>
        <w:jc w:val="both"/>
      </w:pPr>
      <w:r>
        <w:rPr>
          <w:rFonts w:ascii="Arial" w:cs="Arial" w:eastAsia="Arial" w:hAnsi="Arial"/>
          <w:sz w:val="21"/>
          <w:szCs w:val="21"/>
        </w:rPr>
        <w:t xml:space="preserve">This Environmental Policy applies to all operations, sites and activities of Acme Specialty Chemicals Pvt. Ltd., including manufacturing, R&amp;D, warehousing, logistics, and corporate functions. It covers all employees, contractors, suppliers and visitors acting on behalf of the Company.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focus" w:id="1"/>
      <w:bookmarkEnd w:id="1"/>
      <w:r>
        <w:rPr>
          <w:rFonts w:ascii="Arial" w:cs="Arial" w:eastAsia="Arial" w:hAnsi="Arial"/>
          <w:color w:val="69747B"/>
          <w:sz w:val="20"/>
          <w:szCs w:val="20"/>
        </w:rPr>
        <w:t xml:space="preserve">04   </w:t>
      </w:r>
      <w:r>
        <w:rPr>
          <w:rFonts w:ascii="Arial" w:cs="Arial" w:eastAsia="Arial" w:hAnsi="Arial"/>
          <w:b/>
          <w:bCs/>
          <w:color w:val="18232B"/>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01</w:t>
            </w:r>
            <w:r>
              <w:rPr>
                <w:rFonts w:ascii="Arial" w:cs="Arial" w:eastAsia="Arial" w:hAnsi="Arial"/>
                <w:b/>
                <w:bCs/>
                <w:color w:val="1D252B"/>
                <w:sz w:val="24"/>
                <w:szCs w:val="24"/>
              </w:rPr>
              <w:t xml:space="preserve">  Energy Consumption &amp; GHG Emissions</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02</w:t>
            </w:r>
            <w:r>
              <w:rPr>
                <w:rFonts w:ascii="Arial" w:cs="Arial" w:eastAsia="Arial" w:hAnsi="Arial"/>
                <w:b/>
                <w:bCs/>
                <w:color w:val="1D252B"/>
                <w:sz w:val="24"/>
                <w:szCs w:val="24"/>
              </w:rPr>
              <w:t xml:space="preserve">  Air Emissions Control</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03</w:t>
            </w:r>
            <w:r>
              <w:rPr>
                <w:rFonts w:ascii="Arial" w:cs="Arial" w:eastAsia="Arial" w:hAnsi="Arial"/>
                <w:b/>
                <w:bCs/>
                <w:color w:val="1D252B"/>
                <w:sz w:val="24"/>
                <w:szCs w:val="24"/>
              </w:rPr>
              <w:t xml:space="preserve">  Raw Materials &amp; Resource Efficiency</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04</w:t>
            </w:r>
            <w:r>
              <w:rPr>
                <w:rFonts w:ascii="Arial" w:cs="Arial" w:eastAsia="Arial" w:hAnsi="Arial"/>
                <w:b/>
                <w:bCs/>
                <w:color w:val="1D252B"/>
                <w:sz w:val="24"/>
                <w:szCs w:val="24"/>
              </w:rPr>
              <w:t xml:space="preserve">  Waste Management &amp; Circularity</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05</w:t>
            </w:r>
            <w:r>
              <w:rPr>
                <w:rFonts w:ascii="Arial" w:cs="Arial" w:eastAsia="Arial" w:hAnsi="Arial"/>
                <w:b/>
                <w:bCs/>
                <w:color w:val="1D252B"/>
                <w:sz w:val="24"/>
                <w:szCs w:val="24"/>
              </w:rPr>
              <w:t xml:space="preserve">  Water Stewardship</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06</w:t>
            </w:r>
            <w:r>
              <w:rPr>
                <w:rFonts w:ascii="Arial" w:cs="Arial" w:eastAsia="Arial" w:hAnsi="Arial"/>
                <w:b/>
                <w:bCs/>
                <w:color w:val="1D252B"/>
                <w:sz w:val="24"/>
                <w:szCs w:val="24"/>
              </w:rPr>
              <w:t xml:space="preserve">  Biodiversity &amp; Land Use</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07</w:t>
            </w:r>
            <w:r>
              <w:rPr>
                <w:rFonts w:ascii="Arial" w:cs="Arial" w:eastAsia="Arial" w:hAnsi="Arial"/>
                <w:b/>
                <w:bCs/>
                <w:color w:val="1D252B"/>
                <w:sz w:val="24"/>
                <w:szCs w:val="24"/>
              </w:rPr>
              <w:t xml:space="preserve">  Climate Risk &amp; Emergency Preparedness</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08</w:t>
            </w:r>
            <w:r>
              <w:rPr>
                <w:rFonts w:ascii="Arial" w:cs="Arial" w:eastAsia="Arial" w:hAnsi="Arial"/>
                <w:b/>
                <w:bCs/>
                <w:color w:val="1D252B"/>
                <w:sz w:val="24"/>
                <w:szCs w:val="24"/>
              </w:rPr>
              <w:t xml:space="preserve">  Product End-of-Life &amp; Environmental Stewardship</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qualitative" w:id="1"/>
      <w:bookmarkEnd w:id="1"/>
      <w:r>
        <w:rPr>
          <w:rFonts w:ascii="Arial" w:cs="Arial" w:eastAsia="Arial" w:hAnsi="Arial"/>
          <w:color w:val="69747B"/>
          <w:sz w:val="20"/>
          <w:szCs w:val="20"/>
        </w:rPr>
        <w:t xml:space="preserve">05   </w:t>
      </w:r>
      <w:r>
        <w:rPr>
          <w:rFonts w:ascii="Arial" w:cs="Arial" w:eastAsia="Arial" w:hAnsi="Arial"/>
          <w:b/>
          <w:bCs/>
          <w:color w:val="18232B"/>
          <w:sz w:val="30"/>
          <w:szCs w:val="30"/>
        </w:rPr>
        <w:t xml:space="preserve">Qualitative Objectives</w:t>
      </w:r>
    </w:p>
    <w:p>
      <w:pPr>
        <w:spacing w:after="90"/>
      </w:pPr>
      <w:r>
        <w:rPr>
          <w:rFonts w:ascii="Arial" w:cs="Arial" w:eastAsia="Arial" w:hAnsi="Arial"/>
          <w:b/>
          <w:bCs/>
          <w:color w:val="26323D"/>
          <w:sz w:val="18"/>
          <w:szCs w:val="18"/>
        </w:rPr>
        <w:t xml:space="preserve">01  </w:t>
      </w:r>
      <w:r>
        <w:rPr>
          <w:rFonts w:ascii="Arial" w:cs="Arial" w:eastAsia="Arial" w:hAnsi="Arial"/>
          <w:b/>
          <w:bCs/>
          <w:color w:val="18232B"/>
          <w:sz w:val="24"/>
          <w:szCs w:val="24"/>
        </w:rPr>
        <w:t xml:space="preserve">Energy Consumption &amp; GHG Emissions</w:t>
      </w:r>
    </w:p>
    <w:p>
      <w:pPr>
        <w:pStyle w:val="PolicyBody"/>
        <w:numPr>
          <w:ilvl w:val="0"/>
          <w:numId w:val="2"/>
        </w:numPr>
        <w:spacing w:after="90" w:line="324"/>
      </w:pPr>
      <w:r>
        <w:rPr>
          <w:rFonts w:ascii="Arial" w:cs="Arial" w:eastAsia="Arial" w:hAnsi="Arial"/>
          <w:color w:val="1D252B"/>
          <w:sz w:val="21"/>
          <w:szCs w:val="21"/>
        </w:rPr>
        <w:t xml:space="preserve">Improve energy efficiency across all manufacturing operations and reduce absolute Scope 1 and Scope 2 GHG emissions year-on-year.</w:t>
      </w:r>
    </w:p>
    <w:p>
      <w:pPr>
        <w:pStyle w:val="PolicyBody"/>
        <w:numPr>
          <w:ilvl w:val="0"/>
          <w:numId w:val="2"/>
        </w:numPr>
        <w:spacing w:after="90" w:line="324"/>
      </w:pPr>
      <w:r>
        <w:rPr>
          <w:rFonts w:ascii="Arial" w:cs="Arial" w:eastAsia="Arial" w:hAnsi="Arial"/>
          <w:color w:val="1D252B"/>
          <w:sz w:val="21"/>
          <w:szCs w:val="21"/>
        </w:rPr>
        <w:t xml:space="preserve">Increase the share of renewable electricity in our total energy mix and procure credible renewable energy certificates where feasible.</w:t>
      </w:r>
    </w:p>
    <w:p>
      <w:pPr>
        <w:pStyle w:val="PolicyBody"/>
        <w:numPr>
          <w:ilvl w:val="0"/>
          <w:numId w:val="2"/>
        </w:numPr>
        <w:spacing w:after="90" w:line="324"/>
      </w:pPr>
      <w:r>
        <w:rPr>
          <w:rFonts w:ascii="Arial" w:cs="Arial" w:eastAsia="Arial" w:hAnsi="Arial"/>
          <w:color w:val="1D252B"/>
          <w:sz w:val="21"/>
          <w:szCs w:val="21"/>
        </w:rPr>
        <w:t xml:space="preserve">Maintain an energy management system aligned with ISO 50001 and disclose progress in our annual sustainability report.</w:t>
      </w:r>
    </w:p>
    <w:p>
      <w:pPr>
        <w:spacing w:before="70"/>
      </w:pPr>
      <w:r>
        <w:rPr>
          <w:sz w:val="2"/>
          <w:szCs w:val="2"/>
        </w:rPr>
        <w:t xml:space="preserve"> </w:t>
      </w:r>
    </w:p>
    <w:p>
      <w:pPr>
        <w:spacing w:after="90"/>
      </w:pPr>
      <w:r>
        <w:rPr>
          <w:rFonts w:ascii="Arial" w:cs="Arial" w:eastAsia="Arial" w:hAnsi="Arial"/>
          <w:b/>
          <w:bCs/>
          <w:color w:val="26323D"/>
          <w:sz w:val="18"/>
          <w:szCs w:val="18"/>
        </w:rPr>
        <w:t xml:space="preserve">02  </w:t>
      </w:r>
      <w:r>
        <w:rPr>
          <w:rFonts w:ascii="Arial" w:cs="Arial" w:eastAsia="Arial" w:hAnsi="Arial"/>
          <w:b/>
          <w:bCs/>
          <w:color w:val="18232B"/>
          <w:sz w:val="24"/>
          <w:szCs w:val="24"/>
        </w:rPr>
        <w:t xml:space="preserve">Air Emissions Control</w:t>
      </w:r>
    </w:p>
    <w:p>
      <w:pPr>
        <w:pStyle w:val="PolicyBody"/>
        <w:numPr>
          <w:ilvl w:val="0"/>
          <w:numId w:val="2"/>
        </w:numPr>
        <w:spacing w:after="90" w:line="324"/>
      </w:pPr>
      <w:r>
        <w:rPr>
          <w:rFonts w:ascii="Arial" w:cs="Arial" w:eastAsia="Arial" w:hAnsi="Arial"/>
          <w:color w:val="1D252B"/>
          <w:sz w:val="21"/>
          <w:szCs w:val="21"/>
        </w:rPr>
        <w:t xml:space="preserve">Operate and maintain air pollution control equipment to keep all stack emissions well below regulatory limits.</w:t>
      </w:r>
    </w:p>
    <w:p>
      <w:pPr>
        <w:pStyle w:val="PolicyBody"/>
        <w:numPr>
          <w:ilvl w:val="0"/>
          <w:numId w:val="2"/>
        </w:numPr>
        <w:spacing w:after="90" w:line="324"/>
      </w:pPr>
      <w:r>
        <w:rPr>
          <w:rFonts w:ascii="Arial" w:cs="Arial" w:eastAsia="Arial" w:hAnsi="Arial"/>
          <w:color w:val="1D252B"/>
          <w:sz w:val="21"/>
          <w:szCs w:val="21"/>
        </w:rPr>
        <w:t xml:space="preserve">Monitor fugitive emissions through periodic Leak Detection and Repair (LDAR) programs.</w:t>
      </w:r>
    </w:p>
    <w:p>
      <w:pPr>
        <w:pStyle w:val="PolicyBody"/>
        <w:numPr>
          <w:ilvl w:val="0"/>
          <w:numId w:val="2"/>
        </w:numPr>
        <w:spacing w:after="90" w:line="324"/>
      </w:pPr>
      <w:r>
        <w:rPr>
          <w:rFonts w:ascii="Arial" w:cs="Arial" w:eastAsia="Arial" w:hAnsi="Arial"/>
          <w:color w:val="1D252B"/>
          <w:sz w:val="21"/>
          <w:szCs w:val="21"/>
        </w:rPr>
        <w:t xml:space="preserve">Progressively replace high-global-warming-potential process gases with low-GWP alternatives.</w:t>
      </w:r>
    </w:p>
    <w:p>
      <w:pPr>
        <w:spacing w:before="70"/>
      </w:pPr>
      <w:r>
        <w:rPr>
          <w:sz w:val="2"/>
          <w:szCs w:val="2"/>
        </w:rPr>
        <w:t xml:space="preserve"> </w:t>
      </w:r>
    </w:p>
    <w:p>
      <w:pPr>
        <w:spacing w:after="90"/>
      </w:pPr>
      <w:r>
        <w:rPr>
          <w:rFonts w:ascii="Arial" w:cs="Arial" w:eastAsia="Arial" w:hAnsi="Arial"/>
          <w:b/>
          <w:bCs/>
          <w:color w:val="26323D"/>
          <w:sz w:val="18"/>
          <w:szCs w:val="18"/>
        </w:rPr>
        <w:t xml:space="preserve">03  </w:t>
      </w:r>
      <w:r>
        <w:rPr>
          <w:rFonts w:ascii="Arial" w:cs="Arial" w:eastAsia="Arial" w:hAnsi="Arial"/>
          <w:b/>
          <w:bCs/>
          <w:color w:val="18232B"/>
          <w:sz w:val="24"/>
          <w:szCs w:val="24"/>
        </w:rPr>
        <w:t xml:space="preserve">Raw Materials &amp; Resource Efficiency</w:t>
      </w:r>
    </w:p>
    <w:p>
      <w:pPr>
        <w:pStyle w:val="PolicyBody"/>
        <w:numPr>
          <w:ilvl w:val="0"/>
          <w:numId w:val="2"/>
        </w:numPr>
        <w:spacing w:after="90" w:line="324"/>
      </w:pPr>
      <w:r>
        <w:rPr>
          <w:rFonts w:ascii="Arial" w:cs="Arial" w:eastAsia="Arial" w:hAnsi="Arial"/>
          <w:color w:val="1D252B"/>
          <w:sz w:val="21"/>
          <w:szCs w:val="21"/>
        </w:rPr>
        <w:t xml:space="preserve">Optimize raw material use, increase process yields and reduce process losses through continuous improvement.</w:t>
      </w:r>
    </w:p>
    <w:p>
      <w:pPr>
        <w:pStyle w:val="PolicyBody"/>
        <w:numPr>
          <w:ilvl w:val="0"/>
          <w:numId w:val="2"/>
        </w:numPr>
        <w:spacing w:after="90" w:line="324"/>
      </w:pPr>
      <w:r>
        <w:rPr>
          <w:rFonts w:ascii="Arial" w:cs="Arial" w:eastAsia="Arial" w:hAnsi="Arial"/>
          <w:color w:val="1D252B"/>
          <w:sz w:val="21"/>
          <w:szCs w:val="21"/>
        </w:rPr>
        <w:t xml:space="preserve">Prefer bio-based, recycled and sustainably sourced inputs where technically and commercially viable.</w:t>
      </w:r>
    </w:p>
    <w:p>
      <w:pPr>
        <w:pStyle w:val="PolicyBody"/>
        <w:numPr>
          <w:ilvl w:val="0"/>
          <w:numId w:val="2"/>
        </w:numPr>
        <w:spacing w:after="90" w:line="324"/>
      </w:pPr>
      <w:r>
        <w:rPr>
          <w:rFonts w:ascii="Arial" w:cs="Arial" w:eastAsia="Arial" w:hAnsi="Arial"/>
          <w:color w:val="1D252B"/>
          <w:sz w:val="21"/>
          <w:szCs w:val="21"/>
        </w:rPr>
        <w:t xml:space="preserve">Collaborate with R&amp;D and procurement to design products with reduced environmental footprint.</w:t>
      </w:r>
    </w:p>
    <w:p>
      <w:pPr>
        <w:spacing w:before="70"/>
      </w:pPr>
      <w:r>
        <w:rPr>
          <w:sz w:val="2"/>
          <w:szCs w:val="2"/>
        </w:rPr>
        <w:t xml:space="preserve"> </w:t>
      </w:r>
    </w:p>
    <w:p>
      <w:pPr>
        <w:spacing w:after="90"/>
      </w:pPr>
      <w:r>
        <w:rPr>
          <w:rFonts w:ascii="Arial" w:cs="Arial" w:eastAsia="Arial" w:hAnsi="Arial"/>
          <w:b/>
          <w:bCs/>
          <w:color w:val="26323D"/>
          <w:sz w:val="18"/>
          <w:szCs w:val="18"/>
        </w:rPr>
        <w:t xml:space="preserve">04  </w:t>
      </w:r>
      <w:r>
        <w:rPr>
          <w:rFonts w:ascii="Arial" w:cs="Arial" w:eastAsia="Arial" w:hAnsi="Arial"/>
          <w:b/>
          <w:bCs/>
          <w:color w:val="18232B"/>
          <w:sz w:val="24"/>
          <w:szCs w:val="24"/>
        </w:rPr>
        <w:t xml:space="preserve">Waste Management &amp; Circularity</w:t>
      </w:r>
    </w:p>
    <w:p>
      <w:pPr>
        <w:pStyle w:val="PolicyBody"/>
        <w:numPr>
          <w:ilvl w:val="0"/>
          <w:numId w:val="2"/>
        </w:numPr>
        <w:spacing w:after="90" w:line="324"/>
      </w:pPr>
      <w:r>
        <w:rPr>
          <w:rFonts w:ascii="Arial" w:cs="Arial" w:eastAsia="Arial" w:hAnsi="Arial"/>
          <w:color w:val="1D252B"/>
          <w:sz w:val="21"/>
          <w:szCs w:val="21"/>
        </w:rPr>
        <w:t xml:space="preserve">Apply the waste hierarchy - prevent, reduce, reuse, recycle, recover, dispose - across all operations.</w:t>
      </w:r>
    </w:p>
    <w:p>
      <w:pPr>
        <w:pStyle w:val="PolicyBody"/>
        <w:numPr>
          <w:ilvl w:val="0"/>
          <w:numId w:val="2"/>
        </w:numPr>
        <w:spacing w:after="90" w:line="324"/>
      </w:pPr>
      <w:r>
        <w:rPr>
          <w:rFonts w:ascii="Arial" w:cs="Arial" w:eastAsia="Arial" w:hAnsi="Arial"/>
          <w:color w:val="1D252B"/>
          <w:sz w:val="21"/>
          <w:szCs w:val="21"/>
        </w:rPr>
        <w:t xml:space="preserve">Achieve diversion of operational waste from landfill through segregation, recycling and co-processing.</w:t>
      </w:r>
    </w:p>
    <w:p>
      <w:pPr>
        <w:pStyle w:val="PolicyBody"/>
        <w:numPr>
          <w:ilvl w:val="0"/>
          <w:numId w:val="2"/>
        </w:numPr>
        <w:spacing w:after="90" w:line="324"/>
      </w:pPr>
      <w:r>
        <w:rPr>
          <w:rFonts w:ascii="Arial" w:cs="Arial" w:eastAsia="Arial" w:hAnsi="Arial"/>
          <w:color w:val="1D252B"/>
          <w:sz w:val="21"/>
          <w:szCs w:val="21"/>
        </w:rPr>
        <w:t xml:space="preserve">Engage with licensed third-party waste processors and maintain auditable manifests for all hazardous waste streams.</w:t>
      </w:r>
    </w:p>
    <w:p>
      <w:pPr>
        <w:spacing w:before="70"/>
      </w:pPr>
      <w:r>
        <w:rPr>
          <w:sz w:val="2"/>
          <w:szCs w:val="2"/>
        </w:rPr>
        <w:t xml:space="preserve"> </w:t>
      </w:r>
    </w:p>
    <w:p>
      <w:pPr>
        <w:spacing w:after="90"/>
      </w:pPr>
      <w:r>
        <w:rPr>
          <w:rFonts w:ascii="Arial" w:cs="Arial" w:eastAsia="Arial" w:hAnsi="Arial"/>
          <w:b/>
          <w:bCs/>
          <w:color w:val="26323D"/>
          <w:sz w:val="18"/>
          <w:szCs w:val="18"/>
        </w:rPr>
        <w:t xml:space="preserve">05  </w:t>
      </w:r>
      <w:r>
        <w:rPr>
          <w:rFonts w:ascii="Arial" w:cs="Arial" w:eastAsia="Arial" w:hAnsi="Arial"/>
          <w:b/>
          <w:bCs/>
          <w:color w:val="18232B"/>
          <w:sz w:val="24"/>
          <w:szCs w:val="24"/>
        </w:rPr>
        <w:t xml:space="preserve">Water Stewardship</w:t>
      </w:r>
    </w:p>
    <w:p>
      <w:pPr>
        <w:pStyle w:val="PolicyBody"/>
        <w:numPr>
          <w:ilvl w:val="0"/>
          <w:numId w:val="2"/>
        </w:numPr>
        <w:spacing w:after="90" w:line="324"/>
      </w:pPr>
      <w:r>
        <w:rPr>
          <w:rFonts w:ascii="Arial" w:cs="Arial" w:eastAsia="Arial" w:hAnsi="Arial"/>
          <w:color w:val="1D252B"/>
          <w:sz w:val="21"/>
          <w:szCs w:val="21"/>
        </w:rPr>
        <w:t xml:space="preserve">Reduce freshwater withdrawal per unit of production and recycle treated wastewater in suitable applications.</w:t>
      </w:r>
    </w:p>
    <w:p>
      <w:pPr>
        <w:pStyle w:val="PolicyBody"/>
        <w:numPr>
          <w:ilvl w:val="0"/>
          <w:numId w:val="2"/>
        </w:numPr>
        <w:spacing w:after="90" w:line="324"/>
      </w:pPr>
      <w:r>
        <w:rPr>
          <w:rFonts w:ascii="Arial" w:cs="Arial" w:eastAsia="Arial" w:hAnsi="Arial"/>
          <w:color w:val="1D252B"/>
          <w:sz w:val="21"/>
          <w:szCs w:val="21"/>
        </w:rPr>
        <w:t xml:space="preserve">Maintain zero-liquid-discharge compliant treatment systems and conduct periodic third-party water-quality audits.</w:t>
      </w:r>
    </w:p>
    <w:p>
      <w:pPr>
        <w:pStyle w:val="PolicyBody"/>
        <w:numPr>
          <w:ilvl w:val="0"/>
          <w:numId w:val="2"/>
        </w:numPr>
        <w:spacing w:after="90" w:line="324"/>
      </w:pPr>
      <w:r>
        <w:rPr>
          <w:rFonts w:ascii="Arial" w:cs="Arial" w:eastAsia="Arial" w:hAnsi="Arial"/>
          <w:color w:val="1D252B"/>
          <w:sz w:val="21"/>
          <w:szCs w:val="21"/>
        </w:rPr>
        <w:t xml:space="preserve">Conduct site-level water risk assessments using tools such as WRI Aqueduct and respond to high-risk findings.</w:t>
      </w:r>
    </w:p>
    <w:p>
      <w:pPr>
        <w:spacing w:before="70"/>
      </w:pPr>
      <w:r>
        <w:rPr>
          <w:sz w:val="2"/>
          <w:szCs w:val="2"/>
        </w:rPr>
        <w:t xml:space="preserve"> </w:t>
      </w:r>
    </w:p>
    <w:p>
      <w:pPr>
        <w:spacing w:after="90"/>
      </w:pPr>
      <w:r>
        <w:rPr>
          <w:rFonts w:ascii="Arial" w:cs="Arial" w:eastAsia="Arial" w:hAnsi="Arial"/>
          <w:b/>
          <w:bCs/>
          <w:color w:val="26323D"/>
          <w:sz w:val="18"/>
          <w:szCs w:val="18"/>
        </w:rPr>
        <w:t xml:space="preserve">06  </w:t>
      </w:r>
      <w:r>
        <w:rPr>
          <w:rFonts w:ascii="Arial" w:cs="Arial" w:eastAsia="Arial" w:hAnsi="Arial"/>
          <w:b/>
          <w:bCs/>
          <w:color w:val="18232B"/>
          <w:sz w:val="24"/>
          <w:szCs w:val="24"/>
        </w:rPr>
        <w:t xml:space="preserve">Biodiversity &amp; Land Use</w:t>
      </w:r>
    </w:p>
    <w:p>
      <w:pPr>
        <w:pStyle w:val="PolicyBody"/>
        <w:numPr>
          <w:ilvl w:val="0"/>
          <w:numId w:val="2"/>
        </w:numPr>
        <w:spacing w:after="90" w:line="324"/>
      </w:pPr>
      <w:r>
        <w:rPr>
          <w:rFonts w:ascii="Arial" w:cs="Arial" w:eastAsia="Arial" w:hAnsi="Arial"/>
          <w:color w:val="1D252B"/>
          <w:sz w:val="21"/>
          <w:szCs w:val="21"/>
        </w:rPr>
        <w:t xml:space="preserve">Avoid operating in or near ecologically sensitive areas and conduct biodiversity impact assessments for new projects.</w:t>
      </w:r>
    </w:p>
    <w:p>
      <w:pPr>
        <w:pStyle w:val="PolicyBody"/>
        <w:numPr>
          <w:ilvl w:val="0"/>
          <w:numId w:val="2"/>
        </w:numPr>
        <w:spacing w:after="90" w:line="324"/>
      </w:pPr>
      <w:r>
        <w:rPr>
          <w:rFonts w:ascii="Arial" w:cs="Arial" w:eastAsia="Arial" w:hAnsi="Arial"/>
          <w:color w:val="1D252B"/>
          <w:sz w:val="21"/>
          <w:szCs w:val="21"/>
        </w:rPr>
        <w:t xml:space="preserve">Implement landscaping and habitat programs on owned land to support local flora and fauna.</w:t>
      </w:r>
    </w:p>
    <w:p>
      <w:pPr>
        <w:pStyle w:val="PolicyBody"/>
        <w:numPr>
          <w:ilvl w:val="0"/>
          <w:numId w:val="2"/>
        </w:numPr>
        <w:spacing w:after="90" w:line="324"/>
      </w:pPr>
      <w:r>
        <w:rPr>
          <w:rFonts w:ascii="Arial" w:cs="Arial" w:eastAsia="Arial" w:hAnsi="Arial"/>
          <w:color w:val="1D252B"/>
          <w:sz w:val="21"/>
          <w:szCs w:val="21"/>
        </w:rPr>
        <w:t xml:space="preserve">Engage with local communities and conservation groups on biodiversity stewardship initiatives.</w:t>
      </w:r>
    </w:p>
    <w:p>
      <w:pPr>
        <w:spacing w:before="70"/>
      </w:pPr>
      <w:r>
        <w:rPr>
          <w:sz w:val="2"/>
          <w:szCs w:val="2"/>
        </w:rPr>
        <w:t xml:space="preserve"> </w:t>
      </w:r>
    </w:p>
    <w:p>
      <w:pPr>
        <w:spacing w:after="90"/>
      </w:pPr>
      <w:r>
        <w:rPr>
          <w:rFonts w:ascii="Arial" w:cs="Arial" w:eastAsia="Arial" w:hAnsi="Arial"/>
          <w:b/>
          <w:bCs/>
          <w:color w:val="26323D"/>
          <w:sz w:val="18"/>
          <w:szCs w:val="18"/>
        </w:rPr>
        <w:t xml:space="preserve">07  </w:t>
      </w:r>
      <w:r>
        <w:rPr>
          <w:rFonts w:ascii="Arial" w:cs="Arial" w:eastAsia="Arial" w:hAnsi="Arial"/>
          <w:b/>
          <w:bCs/>
          <w:color w:val="18232B"/>
          <w:sz w:val="24"/>
          <w:szCs w:val="24"/>
        </w:rPr>
        <w:t xml:space="preserve">Climate Risk &amp; Emergency Preparedness</w:t>
      </w:r>
    </w:p>
    <w:p>
      <w:pPr>
        <w:pStyle w:val="PolicyBody"/>
        <w:numPr>
          <w:ilvl w:val="0"/>
          <w:numId w:val="2"/>
        </w:numPr>
        <w:spacing w:after="90" w:line="324"/>
      </w:pPr>
      <w:r>
        <w:rPr>
          <w:rFonts w:ascii="Arial" w:cs="Arial" w:eastAsia="Arial" w:hAnsi="Arial"/>
          <w:color w:val="1D252B"/>
          <w:sz w:val="21"/>
          <w:szCs w:val="21"/>
        </w:rPr>
        <w:t xml:space="preserve">Identify, assess and mitigate climate-related physical and transition risks as part of enterprise risk management.</w:t>
      </w:r>
    </w:p>
    <w:p>
      <w:pPr>
        <w:pStyle w:val="PolicyBody"/>
        <w:numPr>
          <w:ilvl w:val="0"/>
          <w:numId w:val="2"/>
        </w:numPr>
        <w:spacing w:after="90" w:line="324"/>
      </w:pPr>
      <w:r>
        <w:rPr>
          <w:rFonts w:ascii="Arial" w:cs="Arial" w:eastAsia="Arial" w:hAnsi="Arial"/>
          <w:color w:val="1D252B"/>
          <w:sz w:val="21"/>
          <w:szCs w:val="21"/>
        </w:rPr>
        <w:t xml:space="preserve">Maintain site-level emergency response plans for spills, releases and natural events, and conduct regular drills.</w:t>
      </w:r>
    </w:p>
    <w:p>
      <w:pPr>
        <w:pStyle w:val="PolicyBody"/>
        <w:numPr>
          <w:ilvl w:val="0"/>
          <w:numId w:val="2"/>
        </w:numPr>
        <w:spacing w:after="90" w:line="324"/>
      </w:pPr>
      <w:r>
        <w:rPr>
          <w:rFonts w:ascii="Arial" w:cs="Arial" w:eastAsia="Arial" w:hAnsi="Arial"/>
          <w:color w:val="1D252B"/>
          <w:sz w:val="21"/>
          <w:szCs w:val="21"/>
        </w:rPr>
        <w:t xml:space="preserve">Disclose climate-related risks and opportunities aligned with TCFD recommendations.</w:t>
      </w:r>
    </w:p>
    <w:p>
      <w:pPr>
        <w:spacing w:before="70"/>
      </w:pPr>
      <w:r>
        <w:rPr>
          <w:sz w:val="2"/>
          <w:szCs w:val="2"/>
        </w:rPr>
        <w:t xml:space="preserve"> </w:t>
      </w:r>
    </w:p>
    <w:p>
      <w:pPr>
        <w:spacing w:after="90"/>
      </w:pPr>
      <w:r>
        <w:rPr>
          <w:rFonts w:ascii="Arial" w:cs="Arial" w:eastAsia="Arial" w:hAnsi="Arial"/>
          <w:b/>
          <w:bCs/>
          <w:color w:val="26323D"/>
          <w:sz w:val="18"/>
          <w:szCs w:val="18"/>
        </w:rPr>
        <w:t xml:space="preserve">08  </w:t>
      </w:r>
      <w:r>
        <w:rPr>
          <w:rFonts w:ascii="Arial" w:cs="Arial" w:eastAsia="Arial" w:hAnsi="Arial"/>
          <w:b/>
          <w:bCs/>
          <w:color w:val="18232B"/>
          <w:sz w:val="24"/>
          <w:szCs w:val="24"/>
        </w:rPr>
        <w:t xml:space="preserve">Product End-of-Life &amp; Environmental Stewardship</w:t>
      </w:r>
    </w:p>
    <w:p>
      <w:pPr>
        <w:pStyle w:val="PolicyBody"/>
        <w:numPr>
          <w:ilvl w:val="0"/>
          <w:numId w:val="2"/>
        </w:numPr>
        <w:spacing w:after="90" w:line="324"/>
      </w:pPr>
      <w:r>
        <w:rPr>
          <w:rFonts w:ascii="Arial" w:cs="Arial" w:eastAsia="Arial" w:hAnsi="Arial"/>
          <w:color w:val="1D252B"/>
          <w:sz w:val="21"/>
          <w:szCs w:val="21"/>
        </w:rPr>
        <w:t xml:space="preserve">Apply life-cycle thinking to product design and provide customers with end-of-life and disposal guidance.</w:t>
      </w:r>
    </w:p>
    <w:p>
      <w:pPr>
        <w:pStyle w:val="PolicyBody"/>
        <w:numPr>
          <w:ilvl w:val="0"/>
          <w:numId w:val="2"/>
        </w:numPr>
        <w:spacing w:after="90" w:line="324"/>
      </w:pPr>
      <w:r>
        <w:rPr>
          <w:rFonts w:ascii="Arial" w:cs="Arial" w:eastAsia="Arial" w:hAnsi="Arial"/>
          <w:color w:val="1D252B"/>
          <w:sz w:val="21"/>
          <w:szCs w:val="21"/>
        </w:rPr>
        <w:t xml:space="preserve">Extend producer responsibility by participating in take-back and recycling programs where applicable.</w:t>
      </w:r>
    </w:p>
    <w:p>
      <w:pPr>
        <w:pStyle w:val="PolicyBody"/>
        <w:numPr>
          <w:ilvl w:val="0"/>
          <w:numId w:val="2"/>
        </w:numPr>
        <w:spacing w:after="90" w:line="324"/>
      </w:pPr>
      <w:r>
        <w:rPr>
          <w:rFonts w:ascii="Arial" w:cs="Arial" w:eastAsia="Arial" w:hAnsi="Arial"/>
          <w:color w:val="1D252B"/>
          <w:sz w:val="21"/>
          <w:szCs w:val="21"/>
        </w:rPr>
        <w:t xml:space="preserve">Continuously improve packaging to reduce material use and increase recycled content.</w:t>
      </w:r>
    </w:p>
    <w:p>
      <w:pPr>
        <w:spacing w:before="70"/>
      </w:pPr>
      <w:r>
        <w:rPr>
          <w:sz w:val="2"/>
          <w:szCs w:val="2"/>
        </w:rPr>
        <w:t xml:space="preserve"> </w:t>
      </w:r>
    </w:p>
    <w:p>
      <w:pPr>
        <w:spacing w:before="115"/>
      </w:pPr>
      <w:r>
        <w:rPr>
          <w:sz w:val="2"/>
          <w:szCs w:val="2"/>
        </w:rPr>
        <w:t xml:space="preserve"> </w:t>
      </w:r>
    </w:p>
    <w:p>
      <w:pPr>
        <w:pStyle w:val="PolicyHeading"/>
        <w:pBdr>
          <w:bottom w:val="single" w:color="26323D" w:sz="4" w:space="1"/>
        </w:pBdr>
        <w:spacing w:after="180" w:before="260"/>
        <w:jc w:val="left"/>
      </w:pPr>
      <w:bookmarkStart w:name="standard-quantitative" w:id="1"/>
      <w:bookmarkEnd w:id="1"/>
      <w:r>
        <w:rPr>
          <w:rFonts w:ascii="Arial" w:cs="Arial" w:eastAsia="Arial" w:hAnsi="Arial"/>
          <w:color w:val="69747B"/>
          <w:sz w:val="20"/>
          <w:szCs w:val="20"/>
        </w:rPr>
        <w:t xml:space="preserve">06   </w:t>
      </w:r>
      <w:r>
        <w:rPr>
          <w:rFonts w:ascii="Arial" w:cs="Arial" w:eastAsia="Arial" w:hAnsi="Arial"/>
          <w:b/>
          <w:bCs/>
          <w:color w:val="18232B"/>
          <w:sz w:val="30"/>
          <w:szCs w:val="30"/>
        </w:rPr>
        <w:t xml:space="preserve">Quantitative Targets</w:t>
      </w:r>
    </w:p>
    <w:p>
      <w:pPr>
        <w:spacing w:after="120"/>
      </w:pPr>
      <w:r>
        <w:rPr>
          <w:rFonts w:ascii="Arial" w:cs="Arial" w:eastAsia="Arial" w:hAnsi="Arial"/>
          <w:i/>
          <w:iCs/>
          <w:color w:val="6974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Reduce specific energy consumption (kWh per tonne of product) by 15%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Reduce absolute Scope 1 + Scope 2 GHG emissions by 30%</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2030-31</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Source 50% of electricity from renewables</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4</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Reduce specific freshwater withdrawal by 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5</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Recycle / reuse 70% of process wastewater</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6</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95% diversion of operational waste from landfill</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7</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Reduce hazardous waste generation per unit by 20%</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8</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Maintain zero exceedance of statutory air emission limits</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2027-28</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9</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Replace 100% of high-GWP refrigerants with low-GWP alternatives</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sdg" w:id="1"/>
      <w:bookmarkEnd w:id="1"/>
      <w:r>
        <w:rPr>
          <w:rFonts w:ascii="Arial" w:cs="Arial" w:eastAsia="Arial" w:hAnsi="Arial"/>
          <w:color w:val="69747B"/>
          <w:sz w:val="20"/>
          <w:szCs w:val="20"/>
        </w:rPr>
        <w:t xml:space="preserve">07   </w:t>
      </w:r>
      <w:r>
        <w:rPr>
          <w:rFonts w:ascii="Arial" w:cs="Arial" w:eastAsia="Arial" w:hAnsi="Arial"/>
          <w:b/>
          <w:bCs/>
          <w:color w:val="18232B"/>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26BDE2" w:color="26BDE2" w:val="solid"/>
            <w:tcMar>
              <w:top w:type="dxa" w:w="120"/>
              <w:left w:type="dxa" w:w="120"/>
              <w:bottom w:type="dxa" w:w="120"/>
              <w:right w:type="dxa" w:w="120"/>
            </w:tcMar>
            <w:vAlign w:val="center"/>
          </w:tcPr>
          <w:p>
            <w:pPr>
              <w:jc w:val="center"/>
            </w:pPr>
            <w:r>
              <w:rPr>
                <w:b/>
                <w:bCs/>
                <w:color w:val="FFFFFF"/>
                <w:sz w:val="17"/>
                <w:szCs w:val="17"/>
              </w:rPr>
              <w:t xml:space="preserve">SDG 6</w:t>
            </w:r>
          </w:p>
        </w:tc>
        <w:tc>
          <w:tcPr>
            <w:tcW w:type="dxa" w:w="8012"/>
            <w:tcMar>
              <w:top w:type="dxa" w:w="120"/>
              <w:left w:type="dxa" w:w="120"/>
              <w:bottom w:type="dxa" w:w="120"/>
              <w:right w:type="dxa" w:w="120"/>
            </w:tcMar>
            <w:vAlign w:val="center"/>
          </w:tcPr>
          <w:p>
            <w:r>
              <w:rPr>
                <w:rFonts w:ascii="Arial" w:cs="Arial" w:eastAsia="Arial" w:hAnsi="Arial"/>
                <w:b/>
                <w:bCs/>
                <w:color w:val="26BDE2"/>
                <w:sz w:val="19"/>
                <w:szCs w:val="19"/>
              </w:rPr>
              <w:t xml:space="preserve">Clean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CC30B" w:color="FCC30B" w:val="solid"/>
            <w:tcMar>
              <w:top w:type="dxa" w:w="120"/>
              <w:left w:type="dxa" w:w="120"/>
              <w:bottom w:type="dxa" w:w="120"/>
              <w:right w:type="dxa" w:w="120"/>
            </w:tcMar>
            <w:vAlign w:val="center"/>
          </w:tcPr>
          <w:p>
            <w:pPr>
              <w:jc w:val="center"/>
            </w:pPr>
            <w:r>
              <w:rPr>
                <w:b/>
                <w:bCs/>
                <w:color w:val="FFFFFF"/>
                <w:sz w:val="17"/>
                <w:szCs w:val="17"/>
              </w:rPr>
              <w:t xml:space="preserve">SDG 7</w:t>
            </w:r>
          </w:p>
        </w:tc>
        <w:tc>
          <w:tcPr>
            <w:tcW w:type="dxa" w:w="8012"/>
            <w:tcMar>
              <w:top w:type="dxa" w:w="120"/>
              <w:left w:type="dxa" w:w="120"/>
              <w:bottom w:type="dxa" w:w="120"/>
              <w:right w:type="dxa" w:w="120"/>
            </w:tcMar>
            <w:vAlign w:val="center"/>
          </w:tcPr>
          <w:p>
            <w:r>
              <w:rPr>
                <w:rFonts w:ascii="Arial" w:cs="Arial" w:eastAsia="Arial" w:hAnsi="Arial"/>
                <w:b/>
                <w:bCs/>
                <w:color w:val="FCC30B"/>
                <w:sz w:val="19"/>
                <w:szCs w:val="19"/>
              </w:rPr>
              <w:t xml:space="preserve">Clean Energy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3F7E44" w:color="3F7E44" w:val="solid"/>
            <w:tcMar>
              <w:top w:type="dxa" w:w="120"/>
              <w:left w:type="dxa" w:w="120"/>
              <w:bottom w:type="dxa" w:w="120"/>
              <w:right w:type="dxa" w:w="120"/>
            </w:tcMar>
            <w:vAlign w:val="center"/>
          </w:tcPr>
          <w:p>
            <w:pPr>
              <w:jc w:val="center"/>
            </w:pPr>
            <w:r>
              <w:rPr>
                <w:b/>
                <w:bCs/>
                <w:color w:val="FFFFFF"/>
                <w:sz w:val="17"/>
                <w:szCs w:val="17"/>
              </w:rPr>
              <w:t xml:space="preserve">SDG 13</w:t>
            </w:r>
          </w:p>
        </w:tc>
        <w:tc>
          <w:tcPr>
            <w:tcW w:type="dxa" w:w="8012"/>
            <w:tcMar>
              <w:top w:type="dxa" w:w="120"/>
              <w:left w:type="dxa" w:w="120"/>
              <w:bottom w:type="dxa" w:w="120"/>
              <w:right w:type="dxa" w:w="120"/>
            </w:tcMar>
            <w:vAlign w:val="center"/>
          </w:tcPr>
          <w:p>
            <w:r>
              <w:rPr>
                <w:rFonts w:ascii="Arial" w:cs="Arial" w:eastAsia="Arial" w:hAnsi="Arial"/>
                <w:b/>
                <w:bCs/>
                <w:color w:val="3F7E44"/>
                <w:sz w:val="19"/>
                <w:szCs w:val="19"/>
              </w:rPr>
              <w:t xml:space="preserve">Climate Action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A97D9" w:color="0A97D9" w:val="solid"/>
            <w:tcMar>
              <w:top w:type="dxa" w:w="120"/>
              <w:left w:type="dxa" w:w="120"/>
              <w:bottom w:type="dxa" w:w="120"/>
              <w:right w:type="dxa" w:w="120"/>
            </w:tcMar>
            <w:vAlign w:val="center"/>
          </w:tcPr>
          <w:p>
            <w:pPr>
              <w:jc w:val="center"/>
            </w:pPr>
            <w:r>
              <w:rPr>
                <w:b/>
                <w:bCs/>
                <w:color w:val="FFFFFF"/>
                <w:sz w:val="17"/>
                <w:szCs w:val="17"/>
              </w:rPr>
              <w:t xml:space="preserve">SDG 14</w:t>
            </w:r>
          </w:p>
        </w:tc>
        <w:tc>
          <w:tcPr>
            <w:tcW w:type="dxa" w:w="8012"/>
            <w:tcMar>
              <w:top w:type="dxa" w:w="120"/>
              <w:left w:type="dxa" w:w="120"/>
              <w:bottom w:type="dxa" w:w="120"/>
              <w:right w:type="dxa" w:w="120"/>
            </w:tcMar>
            <w:vAlign w:val="center"/>
          </w:tcPr>
          <w:p>
            <w:r>
              <w:rPr>
                <w:rFonts w:ascii="Arial" w:cs="Arial" w:eastAsia="Arial" w:hAnsi="Arial"/>
                <w:b/>
                <w:bCs/>
                <w:color w:val="0A97D9"/>
                <w:sz w:val="19"/>
                <w:szCs w:val="19"/>
              </w:rPr>
              <w:t xml:space="preserve">Life Below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56C02B" w:color="56C02B" w:val="solid"/>
            <w:tcMar>
              <w:top w:type="dxa" w:w="120"/>
              <w:left w:type="dxa" w:w="120"/>
              <w:bottom w:type="dxa" w:w="120"/>
              <w:right w:type="dxa" w:w="120"/>
            </w:tcMar>
            <w:vAlign w:val="center"/>
          </w:tcPr>
          <w:p>
            <w:pPr>
              <w:jc w:val="center"/>
            </w:pPr>
            <w:r>
              <w:rPr>
                <w:b/>
                <w:bCs/>
                <w:color w:val="FFFFFF"/>
                <w:sz w:val="17"/>
                <w:szCs w:val="17"/>
              </w:rPr>
              <w:t xml:space="preserve">SDG 15</w:t>
            </w:r>
          </w:p>
        </w:tc>
        <w:tc>
          <w:tcPr>
            <w:tcW w:type="dxa" w:w="8012"/>
            <w:tcMar>
              <w:top w:type="dxa" w:w="120"/>
              <w:left w:type="dxa" w:w="120"/>
              <w:bottom w:type="dxa" w:w="120"/>
              <w:right w:type="dxa" w:w="120"/>
            </w:tcMar>
            <w:vAlign w:val="center"/>
          </w:tcPr>
          <w:p>
            <w:r>
              <w:rPr>
                <w:rFonts w:ascii="Arial" w:cs="Arial" w:eastAsia="Arial" w:hAnsi="Arial"/>
                <w:b/>
                <w:bCs/>
                <w:color w:val="56C02B"/>
                <w:sz w:val="19"/>
                <w:szCs w:val="19"/>
              </w:rPr>
              <w:t xml:space="preserve">Life on Land</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responsibilities" w:id="1"/>
      <w:bookmarkEnd w:id="1"/>
      <w:r>
        <w:rPr>
          <w:rFonts w:ascii="Arial" w:cs="Arial" w:eastAsia="Arial" w:hAnsi="Arial"/>
          <w:color w:val="69747B"/>
          <w:sz w:val="20"/>
          <w:szCs w:val="20"/>
        </w:rPr>
        <w:t xml:space="preserve">08   </w:t>
      </w:r>
      <w:r>
        <w:rPr>
          <w:rFonts w:ascii="Arial" w:cs="Arial" w:eastAsia="Arial" w:hAnsi="Arial"/>
          <w:b/>
          <w:bCs/>
          <w:color w:val="18232B"/>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Provide strategic direction, approve the policy, allocate resources, and review environmental performance at the highest level.</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EHS / Sustainability Team</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Maintain the environmental management system, ensure regulatory compliance, track KPIs, coordinate audits, and report progress to leadership.</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Production &amp; Operations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Implement energy, water and waste management initiatives on the shop floor, maintain pollution control equipment, and minimize process losses.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Engage suppliers on sustainability criteria, source environmentally responsible materials, and integrate ESG clauses into contracts.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Follow environmental procedures, identify improvement opportunities, participate in training, and report incidents or concerns.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Contractors &amp; Visitors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Comply with site environmental rules, follow safe handling and waste segregation practices, and report any observed non-conformities.</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monitoring" w:id="1"/>
      <w:bookmarkEnd w:id="1"/>
      <w:r>
        <w:rPr>
          <w:rFonts w:ascii="Arial" w:cs="Arial" w:eastAsia="Arial" w:hAnsi="Arial"/>
          <w:color w:val="69747B"/>
          <w:sz w:val="20"/>
          <w:szCs w:val="20"/>
        </w:rPr>
        <w:t xml:space="preserve">09   </w:t>
      </w:r>
      <w:r>
        <w:rPr>
          <w:rFonts w:ascii="Arial" w:cs="Arial" w:eastAsia="Arial" w:hAnsi="Arial"/>
          <w:b/>
          <w:bCs/>
          <w:color w:val="18232B"/>
          <w:sz w:val="30"/>
          <w:szCs w:val="30"/>
        </w:rPr>
        <w:t xml:space="preserve">Monitoring, Reporting &amp; Transparency</w:t>
      </w:r>
    </w:p>
    <w:p>
      <w:pPr>
        <w:pStyle w:val="PolicyBody"/>
        <w:spacing w:after="150" w:line="324"/>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6323D" w:sz="4" w:space="1"/>
        </w:pBdr>
        <w:spacing w:after="180" w:before="260"/>
        <w:jc w:val="left"/>
      </w:pPr>
      <w:bookmarkStart w:name="standard-review" w:id="1"/>
      <w:bookmarkEnd w:id="1"/>
      <w:r>
        <w:rPr>
          <w:rFonts w:ascii="Arial" w:cs="Arial" w:eastAsia="Arial" w:hAnsi="Arial"/>
          <w:color w:val="69747B"/>
          <w:sz w:val="20"/>
          <w:szCs w:val="20"/>
        </w:rPr>
        <w:t xml:space="preserve">10   </w:t>
      </w:r>
      <w:r>
        <w:rPr>
          <w:rFonts w:ascii="Arial" w:cs="Arial" w:eastAsia="Arial" w:hAnsi="Arial"/>
          <w:b/>
          <w:bCs/>
          <w:color w:val="18232B"/>
          <w:sz w:val="30"/>
          <w:szCs w:val="30"/>
        </w:rPr>
        <w:t xml:space="preserve">Review Mechanism &amp; Continuous Improvement</w:t>
      </w:r>
    </w:p>
    <w:p>
      <w:pPr>
        <w:pStyle w:val="PolicyBody"/>
        <w:spacing w:after="150" w:line="324"/>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8232B"/>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8232B"/>
          <w:sz w:val="36"/>
          <w:szCs w:val="36"/>
        </w:rPr>
        <w:t xml:space="preserve">Employee Acknowledgement Form</w:t>
      </w:r>
    </w:p>
    <w:p>
      <w:pPr>
        <w:spacing w:after="260" w:line="324"/>
        <w:jc w:val="both"/>
      </w:pPr>
      <w:r>
        <w:rPr>
          <w:rFonts w:ascii="Arial" w:cs="Arial" w:eastAsia="Arial" w:hAnsi="Arial"/>
          <w:sz w:val="21"/>
          <w:szCs w:val="21"/>
        </w:rPr>
        <w:t xml:space="preserve">I acknowledge that I have read and understood the Environmental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NAME</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ID</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DEPARTMENT</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DATE</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SIGNATURE</w:t>
            </w:r>
          </w:p>
          <w:p>
            <w:pPr>
              <w:pBdr>
                <w:bottom w:val="single" w:color="6974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5" w:space="1"/>
      </w:pBdr>
      <w:spacing w:before="80"/>
      <w:jc w:val="left"/>
    </w:pPr>
    <w:r>
      <w:rPr>
        <w:rFonts w:ascii="Arial" w:cs="Arial" w:eastAsia="Arial" w:hAnsi="Arial"/>
        <w:i w:val="false"/>
        <w:iCs w:val="false"/>
        <w:color w:val="69747B"/>
        <w:sz w:val="14"/>
        <w:szCs w:val="14"/>
      </w:rPr>
      <w:t xml:space="preserve">Effective 2025-01-15   -   Revision 01   -   Page </w:t>
    </w:r>
    <w:r>
      <w:rPr>
        <w:rFonts w:ascii="Arial" w:cs="Arial" w:eastAsia="Arial" w:hAnsi="Arial"/>
        <w:color w:val="6974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DEE2" w:sz="5" w:space="1"/>
      </w:pBdr>
      <w:spacing w:after="60"/>
      <w:jc w:val="left"/>
    </w:pPr>
    <w:r>
      <w:rPr>
        <w:rFonts w:ascii="Arial" w:cs="Arial" w:eastAsia="Arial" w:hAnsi="Arial"/>
        <w:b/>
        <w:bCs/>
        <w:color w:val="6974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24"/>
        <w:ind w:left="420" w:hanging="220"/>
      </w:pPr>
      <w:rPr>
        <w:rFonts w:ascii="Arial" w:cs="Arial" w:eastAsia="Arial" w:hAnsi="Arial"/>
        <w:color w:val="26323D"/>
      </w:rPr>
    </w:lvl>
  </w:abstractNum>
  <w:abstractNum w:abstractNumId="3" w15:restartNumberingAfterBreak="0">
    <w:multiLevelType w:val="hybridMultilevel"/>
    <w:lvl w:ilvl="0" w15:tentative="1">
      <w:start w:val="1"/>
      <w:numFmt w:val="decimal"/>
      <w:lvlText w:val="%1."/>
      <w:lvlJc w:val="left"/>
      <w:pPr>
        <w:spacing w:after="90" w:line="324"/>
        <w:ind w:left="420" w:hanging="220"/>
      </w:pPr>
      <w:rPr>
        <w:rFonts w:ascii="Arial" w:cs="Arial" w:eastAsia="Arial" w:hAnsi="Arial"/>
        <w:b/>
        <w:bCs/>
        <w:color w:val="26323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5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8232B"/>
      <w:sz w:val="30"/>
      <w:szCs w:val="30"/>
    </w:rPr>
  </w:style>
  <w:style w:type="paragraph" w:styleId="PolicyBody">
    <w:name w:val="Policy Body"/>
    <w:basedOn w:val="Normal"/>
    <w:next w:val="PolicyBody"/>
    <w:qFormat/>
    <w:pPr>
      <w:spacing w:after="123" w:line="324"/>
    </w:pPr>
    <w:rPr>
      <w:rFonts w:ascii="Arial" w:cs="Arial" w:eastAsia="Arial" w:hAnsi="Arial"/>
      <w:color w:val="1D25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 - Acme Specialty Chemicals Pvt. Ltd.</dc:title>
  <dc:creator>PolicyCraft</dc:creator>
  <cp:lastModifiedBy>Un-named</cp:lastModifiedBy>
  <cp:revision>1</cp:revision>
  <dcterms:created xsi:type="dcterms:W3CDTF">2026-09-08T05:39:37.037Z</dcterms:created>
  <dcterms:modified xsi:type="dcterms:W3CDTF">2026-09-08T05:39:37.037Z</dcterms:modified>
</cp:coreProperties>
</file>

<file path=docProps/custom.xml><?xml version="1.0" encoding="utf-8"?>
<Properties xmlns="http://schemas.openxmlformats.org/officeDocument/2006/custom-properties" xmlns:vt="http://schemas.openxmlformats.org/officeDocument/2006/docPropsVTypes"/>
</file>