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9747B"/>
          <w:sz w:val="25"/>
          <w:szCs w:val="25"/>
        </w:rPr>
        <w:t xml:space="preserve">Acme Specialty Chemicals Pvt. Ltd.</w:t>
      </w:r>
    </w:p>
    <w:p>
      <w:pPr>
        <w:spacing w:before="2381"/>
      </w:pPr>
      <w:r>
        <w:rPr>
          <w:sz w:val="2"/>
          <w:szCs w:val="2"/>
        </w:rPr>
        <w:t xml:space="preserve"> </w:t>
      </w:r>
    </w:p>
    <w:p>
      <w:pPr>
        <w:spacing w:after="140"/>
        <w:jc w:val="left"/>
      </w:pPr>
      <w:r>
        <w:rPr>
          <w:rFonts w:ascii="Arial" w:cs="Arial" w:eastAsia="Arial" w:hAnsi="Arial"/>
          <w:b/>
          <w:bCs/>
          <w:color w:val="18232B"/>
          <w:sz w:val="64"/>
          <w:szCs w:val="64"/>
        </w:rPr>
        <w:t xml:space="preserve">Labour &amp; Human Rights Policy</w:t>
      </w:r>
    </w:p>
    <w:p>
      <w:pPr>
        <w:pBdr>
          <w:bottom w:val="single" w:color="26323D" w:sz="6" w:space="1"/>
        </w:pBdr>
        <w:spacing w:after="360"/>
      </w:pPr>
    </w:p>
    <w:p>
      <w:pPr>
        <w:spacing w:before="900"/>
      </w:pPr>
      <w:r>
        <w:rPr>
          <w:sz w:val="2"/>
          <w:szCs w:val="2"/>
        </w:rPr>
        <w:t xml:space="preserve"> </w:t>
      </w:r>
    </w:p>
    <w:p>
      <w:pPr>
        <w:pBdr>
          <w:top w:val="single" w:color="D8DE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DOCUMENT NO.</w:t>
            </w:r>
          </w:p>
          <w:p>
            <w:pPr>
              <w:spacing w:after="180"/>
            </w:pPr>
            <w:r>
              <w:rPr>
                <w:rFonts w:ascii="Arial" w:cs="Arial" w:eastAsia="Arial" w:hAnsi="Arial"/>
                <w:color w:val="6974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EFFECTIVE DATE</w:t>
            </w:r>
          </w:p>
          <w:p>
            <w:pPr>
              <w:spacing w:after="180"/>
            </w:pPr>
            <w:r>
              <w:rPr>
                <w:rFonts w:ascii="Arial" w:cs="Arial" w:eastAsia="Arial" w:hAnsi="Arial"/>
                <w:color w:val="6974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REVISION</w:t>
            </w:r>
          </w:p>
          <w:p>
            <w:pPr>
              <w:spacing w:after="180"/>
            </w:pPr>
            <w:r>
              <w:rPr>
                <w:rFonts w:ascii="Arial" w:cs="Arial" w:eastAsia="Arial" w:hAnsi="Arial"/>
                <w:color w:val="6974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NEXT REVIEW</w:t>
            </w:r>
          </w:p>
          <w:p>
            <w:pPr>
              <w:spacing w:after="180"/>
            </w:pPr>
            <w:r>
              <w:rPr>
                <w:rFonts w:ascii="Arial" w:cs="Arial" w:eastAsia="Arial" w:hAnsi="Arial"/>
                <w:color w:val="69747B"/>
                <w:sz w:val="20"/>
                <w:szCs w:val="20"/>
              </w:rPr>
              <w:t xml:space="preserve">2027-01-14</w:t>
            </w:r>
          </w:p>
        </w:tc>
      </w:tr>
    </w:tbl>
    <w:p>
      <w:r>
        <w:br w:type="page"/>
      </w:r>
    </w:p>
    <w:p>
      <w:pPr>
        <w:pStyle w:val="PolicyHeading"/>
        <w:spacing w:after="360"/>
        <w:jc w:val="left"/>
      </w:pPr>
      <w:r>
        <w:t xml:space="preserve">Contents</w:t>
      </w:r>
    </w:p>
    <w:p>
      <w:pPr>
        <w:pBdr>
          <w:bottom w:val="dotted" w:color="D8DEE2" w:sz="3" w:space="1"/>
        </w:pBdr>
        <w:spacing w:after="95" w:before="60"/>
      </w:pPr>
      <w:hyperlink w:history="1" w:anchor="standard-preface">
        <w:r>
          <w:rPr>
            <w:rFonts w:ascii="Arial" w:cs="Arial" w:eastAsia="Arial" w:hAnsi="Arial"/>
            <w:b/>
            <w:bCs/>
            <w:color w:val="26323D"/>
            <w:sz w:val="20"/>
            <w:szCs w:val="20"/>
          </w:rPr>
          <w:t xml:space="preserve">01   </w:t>
        </w:r>
        <w:r>
          <w:rPr>
            <w:rFonts w:ascii="Arial" w:cs="Arial" w:eastAsia="Arial" w:hAnsi="Arial"/>
            <w:color w:val="18232B"/>
            <w:sz w:val="20"/>
            <w:szCs w:val="20"/>
          </w:rPr>
          <w:t xml:space="preserve">Preface</w:t>
        </w:r>
      </w:hyperlink>
    </w:p>
    <w:p>
      <w:pPr>
        <w:pBdr>
          <w:bottom w:val="dotted" w:color="D8DEE2" w:sz="3" w:space="1"/>
        </w:pBdr>
        <w:spacing w:after="95" w:before="60"/>
      </w:pPr>
      <w:hyperlink w:history="1" w:anchor="standard-declaration">
        <w:r>
          <w:rPr>
            <w:rFonts w:ascii="Arial" w:cs="Arial" w:eastAsia="Arial" w:hAnsi="Arial"/>
            <w:b/>
            <w:bCs/>
            <w:color w:val="26323D"/>
            <w:sz w:val="20"/>
            <w:szCs w:val="20"/>
          </w:rPr>
          <w:t xml:space="preserve">02   </w:t>
        </w:r>
        <w:r>
          <w:rPr>
            <w:rFonts w:ascii="Arial" w:cs="Arial" w:eastAsia="Arial" w:hAnsi="Arial"/>
            <w:color w:val="18232B"/>
            <w:sz w:val="20"/>
            <w:szCs w:val="20"/>
          </w:rPr>
          <w:t xml:space="preserve">Policy Declaration</w:t>
        </w:r>
      </w:hyperlink>
    </w:p>
    <w:p>
      <w:pPr>
        <w:pBdr>
          <w:bottom w:val="dotted" w:color="D8DEE2" w:sz="3" w:space="1"/>
        </w:pBdr>
        <w:spacing w:after="95" w:before="60"/>
      </w:pPr>
      <w:hyperlink w:history="1" w:anchor="standard-scope">
        <w:r>
          <w:rPr>
            <w:rFonts w:ascii="Arial" w:cs="Arial" w:eastAsia="Arial" w:hAnsi="Arial"/>
            <w:b/>
            <w:bCs/>
            <w:color w:val="26323D"/>
            <w:sz w:val="20"/>
            <w:szCs w:val="20"/>
          </w:rPr>
          <w:t xml:space="preserve">03   </w:t>
        </w:r>
        <w:r>
          <w:rPr>
            <w:rFonts w:ascii="Arial" w:cs="Arial" w:eastAsia="Arial" w:hAnsi="Arial"/>
            <w:color w:val="18232B"/>
            <w:sz w:val="20"/>
            <w:szCs w:val="20"/>
          </w:rPr>
          <w:t xml:space="preserve">Scope</w:t>
        </w:r>
      </w:hyperlink>
    </w:p>
    <w:p>
      <w:pPr>
        <w:pBdr>
          <w:bottom w:val="dotted" w:color="D8DEE2" w:sz="3" w:space="1"/>
        </w:pBdr>
        <w:spacing w:after="95" w:before="60"/>
      </w:pPr>
      <w:hyperlink w:history="1" w:anchor="standard-focus">
        <w:r>
          <w:rPr>
            <w:rFonts w:ascii="Arial" w:cs="Arial" w:eastAsia="Arial" w:hAnsi="Arial"/>
            <w:b/>
            <w:bCs/>
            <w:color w:val="26323D"/>
            <w:sz w:val="20"/>
            <w:szCs w:val="20"/>
          </w:rPr>
          <w:t xml:space="preserve">04   </w:t>
        </w:r>
        <w:r>
          <w:rPr>
            <w:rFonts w:ascii="Arial" w:cs="Arial" w:eastAsia="Arial" w:hAnsi="Arial"/>
            <w:color w:val="18232B"/>
            <w:sz w:val="20"/>
            <w:szCs w:val="20"/>
          </w:rPr>
          <w:t xml:space="preserve">Key Focus Areas</w:t>
        </w:r>
      </w:hyperlink>
    </w:p>
    <w:p>
      <w:pPr>
        <w:pBdr>
          <w:bottom w:val="dotted" w:color="D8DEE2" w:sz="3" w:space="1"/>
        </w:pBdr>
        <w:spacing w:after="95" w:before="60"/>
      </w:pPr>
      <w:hyperlink w:history="1" w:anchor="standard-qualitative">
        <w:r>
          <w:rPr>
            <w:rFonts w:ascii="Arial" w:cs="Arial" w:eastAsia="Arial" w:hAnsi="Arial"/>
            <w:b/>
            <w:bCs/>
            <w:color w:val="26323D"/>
            <w:sz w:val="20"/>
            <w:szCs w:val="20"/>
          </w:rPr>
          <w:t xml:space="preserve">05   </w:t>
        </w:r>
        <w:r>
          <w:rPr>
            <w:rFonts w:ascii="Arial" w:cs="Arial" w:eastAsia="Arial" w:hAnsi="Arial"/>
            <w:color w:val="18232B"/>
            <w:sz w:val="20"/>
            <w:szCs w:val="20"/>
          </w:rPr>
          <w:t xml:space="preserve">Qualitative Objectives</w:t>
        </w:r>
      </w:hyperlink>
    </w:p>
    <w:p>
      <w:pPr>
        <w:pBdr>
          <w:bottom w:val="dotted" w:color="D8DEE2" w:sz="3" w:space="1"/>
        </w:pBdr>
        <w:spacing w:after="95" w:before="60"/>
      </w:pPr>
      <w:hyperlink w:history="1" w:anchor="standard-quantitative">
        <w:r>
          <w:rPr>
            <w:rFonts w:ascii="Arial" w:cs="Arial" w:eastAsia="Arial" w:hAnsi="Arial"/>
            <w:b/>
            <w:bCs/>
            <w:color w:val="26323D"/>
            <w:sz w:val="20"/>
            <w:szCs w:val="20"/>
          </w:rPr>
          <w:t xml:space="preserve">06   </w:t>
        </w:r>
        <w:r>
          <w:rPr>
            <w:rFonts w:ascii="Arial" w:cs="Arial" w:eastAsia="Arial" w:hAnsi="Arial"/>
            <w:color w:val="18232B"/>
            <w:sz w:val="20"/>
            <w:szCs w:val="20"/>
          </w:rPr>
          <w:t xml:space="preserve">Quantitative Targets</w:t>
        </w:r>
      </w:hyperlink>
    </w:p>
    <w:p>
      <w:pPr>
        <w:pBdr>
          <w:bottom w:val="dotted" w:color="D8DEE2" w:sz="3" w:space="1"/>
        </w:pBdr>
        <w:spacing w:after="95" w:before="60"/>
      </w:pPr>
      <w:hyperlink w:history="1" w:anchor="standard-sdg">
        <w:r>
          <w:rPr>
            <w:rFonts w:ascii="Arial" w:cs="Arial" w:eastAsia="Arial" w:hAnsi="Arial"/>
            <w:b/>
            <w:bCs/>
            <w:color w:val="26323D"/>
            <w:sz w:val="20"/>
            <w:szCs w:val="20"/>
          </w:rPr>
          <w:t xml:space="preserve">07   </w:t>
        </w:r>
        <w:r>
          <w:rPr>
            <w:rFonts w:ascii="Arial" w:cs="Arial" w:eastAsia="Arial" w:hAnsi="Arial"/>
            <w:color w:val="18232B"/>
            <w:sz w:val="20"/>
            <w:szCs w:val="20"/>
          </w:rPr>
          <w:t xml:space="preserve">SDG Alignment</w:t>
        </w:r>
      </w:hyperlink>
    </w:p>
    <w:p>
      <w:pPr>
        <w:pBdr>
          <w:bottom w:val="dotted" w:color="D8DEE2" w:sz="3" w:space="1"/>
        </w:pBdr>
        <w:spacing w:after="95" w:before="60"/>
      </w:pPr>
      <w:hyperlink w:history="1" w:anchor="standard-responsibilities">
        <w:r>
          <w:rPr>
            <w:rFonts w:ascii="Arial" w:cs="Arial" w:eastAsia="Arial" w:hAnsi="Arial"/>
            <w:b/>
            <w:bCs/>
            <w:color w:val="26323D"/>
            <w:sz w:val="20"/>
            <w:szCs w:val="20"/>
          </w:rPr>
          <w:t xml:space="preserve">08   </w:t>
        </w:r>
        <w:r>
          <w:rPr>
            <w:rFonts w:ascii="Arial" w:cs="Arial" w:eastAsia="Arial" w:hAnsi="Arial"/>
            <w:color w:val="18232B"/>
            <w:sz w:val="20"/>
            <w:szCs w:val="20"/>
          </w:rPr>
          <w:t xml:space="preserve">Roles &amp; Responsibilities</w:t>
        </w:r>
      </w:hyperlink>
    </w:p>
    <w:p>
      <w:pPr>
        <w:pBdr>
          <w:bottom w:val="dotted" w:color="D8DEE2" w:sz="3" w:space="1"/>
        </w:pBdr>
        <w:spacing w:after="95" w:before="60"/>
      </w:pPr>
      <w:hyperlink w:history="1" w:anchor="standard-monitoring">
        <w:r>
          <w:rPr>
            <w:rFonts w:ascii="Arial" w:cs="Arial" w:eastAsia="Arial" w:hAnsi="Arial"/>
            <w:b/>
            <w:bCs/>
            <w:color w:val="26323D"/>
            <w:sz w:val="20"/>
            <w:szCs w:val="20"/>
          </w:rPr>
          <w:t xml:space="preserve">09   </w:t>
        </w:r>
        <w:r>
          <w:rPr>
            <w:rFonts w:ascii="Arial" w:cs="Arial" w:eastAsia="Arial" w:hAnsi="Arial"/>
            <w:color w:val="18232B"/>
            <w:sz w:val="20"/>
            <w:szCs w:val="20"/>
          </w:rPr>
          <w:t xml:space="preserve">Monitoring, Reporting &amp; Transparency</w:t>
        </w:r>
      </w:hyperlink>
    </w:p>
    <w:p>
      <w:pPr>
        <w:pBdr>
          <w:bottom w:val="dotted" w:color="D8DEE2" w:sz="3" w:space="1"/>
        </w:pBdr>
        <w:spacing w:after="95" w:before="60"/>
      </w:pPr>
      <w:hyperlink w:history="1" w:anchor="standard-review">
        <w:r>
          <w:rPr>
            <w:rFonts w:ascii="Arial" w:cs="Arial" w:eastAsia="Arial" w:hAnsi="Arial"/>
            <w:b/>
            <w:bCs/>
            <w:color w:val="26323D"/>
            <w:sz w:val="20"/>
            <w:szCs w:val="20"/>
          </w:rPr>
          <w:t xml:space="preserve">10   </w:t>
        </w:r>
        <w:r>
          <w:rPr>
            <w:rFonts w:ascii="Arial" w:cs="Arial" w:eastAsia="Arial" w:hAnsi="Arial"/>
            <w:color w:val="18232B"/>
            <w:sz w:val="20"/>
            <w:szCs w:val="20"/>
          </w:rPr>
          <w:t xml:space="preserve">Review Mechanism &amp; Continuous Improvement</w:t>
        </w:r>
      </w:hyperlink>
    </w:p>
    <w:p>
      <w:r>
        <w:br w:type="page"/>
      </w:r>
    </w:p>
    <w:p>
      <w:pPr>
        <w:pStyle w:val="PolicyHeading"/>
        <w:pBdr>
          <w:bottom w:val="single" w:color="26323D" w:sz="4" w:space="1"/>
        </w:pBdr>
        <w:spacing w:after="180" w:before="260"/>
        <w:jc w:val="left"/>
      </w:pPr>
      <w:bookmarkStart w:name="standard-preface" w:id="1"/>
      <w:bookmarkEnd w:id="1"/>
      <w:r>
        <w:rPr>
          <w:rFonts w:ascii="Arial" w:cs="Arial" w:eastAsia="Arial" w:hAnsi="Arial"/>
          <w:color w:val="69747B"/>
          <w:sz w:val="20"/>
          <w:szCs w:val="20"/>
        </w:rPr>
        <w:t xml:space="preserve">01   </w:t>
      </w:r>
      <w:r>
        <w:rPr>
          <w:rFonts w:ascii="Arial" w:cs="Arial" w:eastAsia="Arial" w:hAnsi="Arial"/>
          <w:b/>
          <w:bCs/>
          <w:color w:val="18232B"/>
          <w:sz w:val="30"/>
          <w:szCs w:val="30"/>
        </w:rPr>
        <w:t xml:space="preserve">Preface</w:t>
      </w:r>
    </w:p>
    <w:p>
      <w:pPr>
        <w:pStyle w:val="PolicyBody"/>
        <w:spacing w:after="150" w:line="324"/>
        <w:jc w:val="both"/>
      </w:pPr>
      <w:r>
        <w:rPr>
          <w:rFonts w:ascii="Arial" w:cs="Arial" w:eastAsia="Arial" w:hAnsi="Arial"/>
          <w:sz w:val="21"/>
          <w:szCs w:val="21"/>
        </w:rPr>
        <w:t xml:space="preserve">Labour &amp; Human Rights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6323D" w:sz="4" w:space="1"/>
        </w:pBdr>
        <w:spacing w:after="180" w:before="260"/>
        <w:jc w:val="left"/>
      </w:pPr>
      <w:bookmarkStart w:name="standard-declaration" w:id="1"/>
      <w:bookmarkEnd w:id="1"/>
      <w:r>
        <w:rPr>
          <w:rFonts w:ascii="Arial" w:cs="Arial" w:eastAsia="Arial" w:hAnsi="Arial"/>
          <w:color w:val="69747B"/>
          <w:sz w:val="20"/>
          <w:szCs w:val="20"/>
        </w:rPr>
        <w:t xml:space="preserve">02   </w:t>
      </w:r>
      <w:r>
        <w:rPr>
          <w:rFonts w:ascii="Arial" w:cs="Arial" w:eastAsia="Arial" w:hAnsi="Arial"/>
          <w:b/>
          <w:bCs/>
          <w:color w:val="18232B"/>
          <w:sz w:val="30"/>
          <w:szCs w:val="30"/>
        </w:rPr>
        <w:t xml:space="preserve">Policy Declaration</w:t>
      </w:r>
    </w:p>
    <w:p>
      <w:pPr>
        <w:pStyle w:val="PolicyBody"/>
        <w:spacing w:after="150" w:line="324"/>
        <w:jc w:val="both"/>
      </w:pPr>
      <w:r>
        <w:rPr>
          <w:rFonts w:ascii="Arial" w:cs="Arial" w:eastAsia="Arial" w:hAnsi="Arial"/>
          <w:sz w:val="21"/>
          <w:szCs w:val="21"/>
        </w:rPr>
        <w:t xml:space="preserve">Acme Specialty Chemicals affirms its commitment to implementing this Labour &amp; Human Rights Policy in line with applicable requirements, proportionate controls, and regular management review.</w:t>
      </w:r>
    </w:p>
    <w:p>
      <w:pPr>
        <w:spacing w:before="115"/>
      </w:pPr>
      <w:r>
        <w:rPr>
          <w:sz w:val="2"/>
          <w:szCs w:val="2"/>
        </w:rPr>
        <w:t xml:space="preserve"> </w:t>
      </w:r>
    </w:p>
    <w:p>
      <w:pPr>
        <w:pStyle w:val="PolicyHeading"/>
        <w:pBdr>
          <w:bottom w:val="single" w:color="26323D" w:sz="4" w:space="1"/>
        </w:pBdr>
        <w:spacing w:after="180" w:before="260"/>
        <w:jc w:val="left"/>
      </w:pPr>
      <w:bookmarkStart w:name="standard-scope" w:id="1"/>
      <w:bookmarkEnd w:id="1"/>
      <w:r>
        <w:rPr>
          <w:rFonts w:ascii="Arial" w:cs="Arial" w:eastAsia="Arial" w:hAnsi="Arial"/>
          <w:color w:val="69747B"/>
          <w:sz w:val="20"/>
          <w:szCs w:val="20"/>
        </w:rPr>
        <w:t xml:space="preserve">03   </w:t>
      </w:r>
      <w:r>
        <w:rPr>
          <w:rFonts w:ascii="Arial" w:cs="Arial" w:eastAsia="Arial" w:hAnsi="Arial"/>
          <w:b/>
          <w:bCs/>
          <w:color w:val="18232B"/>
          <w:sz w:val="30"/>
          <w:szCs w:val="30"/>
        </w:rPr>
        <w:t xml:space="preserve">Scope</w:t>
      </w:r>
    </w:p>
    <w:p>
      <w:pPr>
        <w:pStyle w:val="PolicyBody"/>
        <w:spacing w:after="150" w:line="324"/>
        <w:jc w:val="both"/>
      </w:pPr>
      <w:r>
        <w:rPr>
          <w:rFonts w:ascii="Arial" w:cs="Arial" w:eastAsia="Arial" w:hAnsi="Arial"/>
          <w:sz w:val="21"/>
          <w:szCs w:val="21"/>
        </w:rPr>
        <w:t xml:space="preserve">This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focus" w:id="1"/>
      <w:bookmarkEnd w:id="1"/>
      <w:r>
        <w:rPr>
          <w:rFonts w:ascii="Arial" w:cs="Arial" w:eastAsia="Arial" w:hAnsi="Arial"/>
          <w:color w:val="69747B"/>
          <w:sz w:val="20"/>
          <w:szCs w:val="20"/>
        </w:rPr>
        <w:t xml:space="preserve">04   </w:t>
      </w:r>
      <w:r>
        <w:rPr>
          <w:rFonts w:ascii="Arial" w:cs="Arial" w:eastAsia="Arial" w:hAnsi="Arial"/>
          <w:b/>
          <w:bCs/>
          <w:color w:val="18232B"/>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01</w:t>
            </w:r>
            <w:r>
              <w:rPr>
                <w:rFonts w:ascii="Arial" w:cs="Arial" w:eastAsia="Arial" w:hAnsi="Arial"/>
                <w:b/>
                <w:bCs/>
                <w:color w:val="1D252B"/>
                <w:sz w:val="24"/>
                <w:szCs w:val="24"/>
              </w:rPr>
              <w:t xml:space="preserve">  Occupational Health &amp; Safety</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02</w:t>
            </w:r>
            <w:r>
              <w:rPr>
                <w:rFonts w:ascii="Arial" w:cs="Arial" w:eastAsia="Arial" w:hAnsi="Arial"/>
                <w:b/>
                <w:bCs/>
                <w:color w:val="1D252B"/>
                <w:sz w:val="24"/>
                <w:szCs w:val="24"/>
              </w:rPr>
              <w:t xml:space="preserve">  Fair Working Conditions, Hours &amp; Benefits</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03</w:t>
            </w:r>
            <w:r>
              <w:rPr>
                <w:rFonts w:ascii="Arial" w:cs="Arial" w:eastAsia="Arial" w:hAnsi="Arial"/>
                <w:b/>
                <w:bCs/>
                <w:color w:val="1D252B"/>
                <w:sz w:val="24"/>
                <w:szCs w:val="24"/>
              </w:rPr>
              <w:t xml:space="preserve">  Social Dialogue &amp; Freedom of Association</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04</w:t>
            </w:r>
            <w:r>
              <w:rPr>
                <w:rFonts w:ascii="Arial" w:cs="Arial" w:eastAsia="Arial" w:hAnsi="Arial"/>
                <w:b/>
                <w:bCs/>
                <w:color w:val="1D252B"/>
                <w:sz w:val="24"/>
                <w:szCs w:val="24"/>
              </w:rPr>
              <w:t xml:space="preserve">  Career Development &amp; Training</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05</w:t>
            </w:r>
            <w:r>
              <w:rPr>
                <w:rFonts w:ascii="Arial" w:cs="Arial" w:eastAsia="Arial" w:hAnsi="Arial"/>
                <w:b/>
                <w:bCs/>
                <w:color w:val="1D252B"/>
                <w:sz w:val="24"/>
                <w:szCs w:val="24"/>
              </w:rPr>
              <w:t xml:space="preserve">  Child Labour, Forced Labour &amp; Modern Slavery</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qualitative" w:id="1"/>
      <w:bookmarkEnd w:id="1"/>
      <w:r>
        <w:rPr>
          <w:rFonts w:ascii="Arial" w:cs="Arial" w:eastAsia="Arial" w:hAnsi="Arial"/>
          <w:color w:val="69747B"/>
          <w:sz w:val="20"/>
          <w:szCs w:val="20"/>
        </w:rPr>
        <w:t xml:space="preserve">05   </w:t>
      </w:r>
      <w:r>
        <w:rPr>
          <w:rFonts w:ascii="Arial" w:cs="Arial" w:eastAsia="Arial" w:hAnsi="Arial"/>
          <w:b/>
          <w:bCs/>
          <w:color w:val="18232B"/>
          <w:sz w:val="30"/>
          <w:szCs w:val="30"/>
        </w:rPr>
        <w:t xml:space="preserve">Qualitative Objectives</w:t>
      </w:r>
    </w:p>
    <w:p>
      <w:pPr>
        <w:spacing w:after="90"/>
      </w:pPr>
      <w:r>
        <w:rPr>
          <w:rFonts w:ascii="Arial" w:cs="Arial" w:eastAsia="Arial" w:hAnsi="Arial"/>
          <w:b/>
          <w:bCs/>
          <w:color w:val="26323D"/>
          <w:sz w:val="18"/>
          <w:szCs w:val="18"/>
        </w:rPr>
        <w:t xml:space="preserve">01  </w:t>
      </w:r>
      <w:r>
        <w:rPr>
          <w:rFonts w:ascii="Arial" w:cs="Arial" w:eastAsia="Arial" w:hAnsi="Arial"/>
          <w:b/>
          <w:bCs/>
          <w:color w:val="18232B"/>
          <w:sz w:val="24"/>
          <w:szCs w:val="24"/>
        </w:rPr>
        <w:t xml:space="preserve">Occupational Health &amp; Safety</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occupational health &amp; safety.</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occupational health &amp; safety.</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occupational health &amp; safety.</w:t>
      </w:r>
    </w:p>
    <w:p>
      <w:pPr>
        <w:spacing w:before="70"/>
      </w:pPr>
      <w:r>
        <w:rPr>
          <w:sz w:val="2"/>
          <w:szCs w:val="2"/>
        </w:rPr>
        <w:t xml:space="preserve"> </w:t>
      </w:r>
    </w:p>
    <w:p>
      <w:pPr>
        <w:spacing w:after="90"/>
      </w:pPr>
      <w:r>
        <w:rPr>
          <w:rFonts w:ascii="Arial" w:cs="Arial" w:eastAsia="Arial" w:hAnsi="Arial"/>
          <w:b/>
          <w:bCs/>
          <w:color w:val="26323D"/>
          <w:sz w:val="18"/>
          <w:szCs w:val="18"/>
        </w:rPr>
        <w:t xml:space="preserve">02  </w:t>
      </w:r>
      <w:r>
        <w:rPr>
          <w:rFonts w:ascii="Arial" w:cs="Arial" w:eastAsia="Arial" w:hAnsi="Arial"/>
          <w:b/>
          <w:bCs/>
          <w:color w:val="18232B"/>
          <w:sz w:val="24"/>
          <w:szCs w:val="24"/>
        </w:rPr>
        <w:t xml:space="preserve">Fair Working Conditions, Hours &amp; Benefits</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fair working conditions, hours &amp; benefits.</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fair working conditions, hours &amp; benefits.</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Arial" w:cs="Arial" w:eastAsia="Arial" w:hAnsi="Arial"/>
          <w:b/>
          <w:bCs/>
          <w:color w:val="26323D"/>
          <w:sz w:val="18"/>
          <w:szCs w:val="18"/>
        </w:rPr>
        <w:t xml:space="preserve">03  </w:t>
      </w:r>
      <w:r>
        <w:rPr>
          <w:rFonts w:ascii="Arial" w:cs="Arial" w:eastAsia="Arial" w:hAnsi="Arial"/>
          <w:b/>
          <w:bCs/>
          <w:color w:val="18232B"/>
          <w:sz w:val="24"/>
          <w:szCs w:val="24"/>
        </w:rPr>
        <w:t xml:space="preserve">Social Dialogue &amp; Freedom of Association</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social dialogue &amp; freedom of association.</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social dialogue &amp; freedom of association.</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Arial" w:cs="Arial" w:eastAsia="Arial" w:hAnsi="Arial"/>
          <w:b/>
          <w:bCs/>
          <w:color w:val="26323D"/>
          <w:sz w:val="18"/>
          <w:szCs w:val="18"/>
        </w:rPr>
        <w:t xml:space="preserve">04  </w:t>
      </w:r>
      <w:r>
        <w:rPr>
          <w:rFonts w:ascii="Arial" w:cs="Arial" w:eastAsia="Arial" w:hAnsi="Arial"/>
          <w:b/>
          <w:bCs/>
          <w:color w:val="18232B"/>
          <w:sz w:val="24"/>
          <w:szCs w:val="24"/>
        </w:rPr>
        <w:t xml:space="preserve">Career Development &amp; Training</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career development &amp; training.</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career development &amp; training.</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career development &amp; training.</w:t>
      </w:r>
    </w:p>
    <w:p>
      <w:pPr>
        <w:spacing w:before="70"/>
      </w:pPr>
      <w:r>
        <w:rPr>
          <w:sz w:val="2"/>
          <w:szCs w:val="2"/>
        </w:rPr>
        <w:t xml:space="preserve"> </w:t>
      </w:r>
    </w:p>
    <w:p>
      <w:pPr>
        <w:spacing w:after="90"/>
      </w:pPr>
      <w:r>
        <w:rPr>
          <w:rFonts w:ascii="Arial" w:cs="Arial" w:eastAsia="Arial" w:hAnsi="Arial"/>
          <w:b/>
          <w:bCs/>
          <w:color w:val="26323D"/>
          <w:sz w:val="18"/>
          <w:szCs w:val="18"/>
        </w:rPr>
        <w:t xml:space="preserve">05  </w:t>
      </w:r>
      <w:r>
        <w:rPr>
          <w:rFonts w:ascii="Arial" w:cs="Arial" w:eastAsia="Arial" w:hAnsi="Arial"/>
          <w:b/>
          <w:bCs/>
          <w:color w:val="18232B"/>
          <w:sz w:val="24"/>
          <w:szCs w:val="24"/>
        </w:rPr>
        <w:t xml:space="preserve">Child Labour, Forced Labour &amp; Modern Slavery</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child labour, forced labour &amp; modern slavery.</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child labour, forced labour &amp; modern slavery.</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child labour, forced labour &amp; modern slavery.</w:t>
      </w:r>
    </w:p>
    <w:p>
      <w:pPr>
        <w:spacing w:before="70"/>
      </w:pPr>
      <w:r>
        <w:rPr>
          <w:sz w:val="2"/>
          <w:szCs w:val="2"/>
        </w:rPr>
        <w:t xml:space="preserve"> </w:t>
      </w:r>
    </w:p>
    <w:p>
      <w:pPr>
        <w:spacing w:before="115"/>
      </w:pPr>
      <w:r>
        <w:rPr>
          <w:sz w:val="2"/>
          <w:szCs w:val="2"/>
        </w:rPr>
        <w:t xml:space="preserve"> </w:t>
      </w:r>
    </w:p>
    <w:p>
      <w:pPr>
        <w:pStyle w:val="PolicyHeading"/>
        <w:pBdr>
          <w:bottom w:val="single" w:color="26323D" w:sz="4" w:space="1"/>
        </w:pBdr>
        <w:spacing w:after="180" w:before="260"/>
        <w:jc w:val="left"/>
      </w:pPr>
      <w:bookmarkStart w:name="standard-quantitative" w:id="1"/>
      <w:bookmarkEnd w:id="1"/>
      <w:r>
        <w:rPr>
          <w:rFonts w:ascii="Arial" w:cs="Arial" w:eastAsia="Arial" w:hAnsi="Arial"/>
          <w:color w:val="69747B"/>
          <w:sz w:val="20"/>
          <w:szCs w:val="20"/>
        </w:rPr>
        <w:t xml:space="preserve">06   </w:t>
      </w:r>
      <w:r>
        <w:rPr>
          <w:rFonts w:ascii="Arial" w:cs="Arial" w:eastAsia="Arial" w:hAnsi="Arial"/>
          <w:b/>
          <w:bCs/>
          <w:color w:val="18232B"/>
          <w:sz w:val="30"/>
          <w:szCs w:val="30"/>
        </w:rPr>
        <w:t xml:space="preserve">Quantitative Targets</w:t>
      </w:r>
    </w:p>
    <w:p>
      <w:pPr>
        <w:spacing w:after="120"/>
      </w:pPr>
      <w:r>
        <w:rPr>
          <w:rFonts w:ascii="Arial" w:cs="Arial" w:eastAsia="Arial" w:hAnsi="Arial"/>
          <w:i/>
          <w:iCs/>
          <w:color w:val="6974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Occupational Health &amp; Safety</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occupational health &amp; safety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Fair Working Conditions, Hours &amp; Benefits</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fair working conditions, hours &amp; benefits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Social Dialogue &amp; Freedom of Association</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social dialogue &amp; freedom of association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sdg" w:id="1"/>
      <w:bookmarkEnd w:id="1"/>
      <w:r>
        <w:rPr>
          <w:rFonts w:ascii="Arial" w:cs="Arial" w:eastAsia="Arial" w:hAnsi="Arial"/>
          <w:color w:val="69747B"/>
          <w:sz w:val="20"/>
          <w:szCs w:val="20"/>
        </w:rPr>
        <w:t xml:space="preserve">07   </w:t>
      </w:r>
      <w:r>
        <w:rPr>
          <w:rFonts w:ascii="Arial" w:cs="Arial" w:eastAsia="Arial" w:hAnsi="Arial"/>
          <w:b/>
          <w:bCs/>
          <w:color w:val="18232B"/>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Arial" w:cs="Arial" w:eastAsia="Arial" w:hAnsi="Arial"/>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C5192D" w:color="C5192D" w:val="solid"/>
            <w:tcMar>
              <w:top w:type="dxa" w:w="120"/>
              <w:left w:type="dxa" w:w="120"/>
              <w:bottom w:type="dxa" w:w="120"/>
              <w:right w:type="dxa" w:w="120"/>
            </w:tcMar>
            <w:vAlign w:val="center"/>
          </w:tcPr>
          <w:p>
            <w:pPr>
              <w:jc w:val="center"/>
            </w:pPr>
            <w:r>
              <w:rPr>
                <w:b/>
                <w:bCs/>
                <w:color w:val="FFFFFF"/>
                <w:sz w:val="17"/>
                <w:szCs w:val="17"/>
              </w:rPr>
              <w:t xml:space="preserve">SDG 4</w:t>
            </w:r>
          </w:p>
        </w:tc>
        <w:tc>
          <w:tcPr>
            <w:tcW w:type="dxa" w:w="8012"/>
            <w:tcMar>
              <w:top w:type="dxa" w:w="120"/>
              <w:left w:type="dxa" w:w="120"/>
              <w:bottom w:type="dxa" w:w="120"/>
              <w:right w:type="dxa" w:w="120"/>
            </w:tcMar>
            <w:vAlign w:val="center"/>
          </w:tcPr>
          <w:p>
            <w:r>
              <w:rPr>
                <w:rFonts w:ascii="Arial" w:cs="Arial" w:eastAsia="Arial" w:hAnsi="Arial"/>
                <w:b/>
                <w:bCs/>
                <w:color w:val="C5192D"/>
                <w:sz w:val="19"/>
                <w:szCs w:val="19"/>
              </w:rPr>
              <w:t xml:space="preserve">Quality Education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Arial" w:cs="Arial" w:eastAsia="Arial" w:hAnsi="Arial"/>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responsibilities" w:id="1"/>
      <w:bookmarkEnd w:id="1"/>
      <w:r>
        <w:rPr>
          <w:rFonts w:ascii="Arial" w:cs="Arial" w:eastAsia="Arial" w:hAnsi="Arial"/>
          <w:color w:val="69747B"/>
          <w:sz w:val="20"/>
          <w:szCs w:val="20"/>
        </w:rPr>
        <w:t xml:space="preserve">08   </w:t>
      </w:r>
      <w:r>
        <w:rPr>
          <w:rFonts w:ascii="Arial" w:cs="Arial" w:eastAsia="Arial" w:hAnsi="Arial"/>
          <w:b/>
          <w:bCs/>
          <w:color w:val="18232B"/>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Approve the policy, allocate resources, and review labour and human-rights performance.</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Implement fair employment practices, maintain grievance channels, and track workforce commitments.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EHS &amp; Operations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Maintain safe working conditions, address hazards, and ensure worker training and participation.</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Apply human-rights due diligence to suppliers, contractors, and service providers.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Treat colleagues with dignity, report concerns without retaliation, and uphold this policy.</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monitoring" w:id="1"/>
      <w:bookmarkEnd w:id="1"/>
      <w:r>
        <w:rPr>
          <w:rFonts w:ascii="Arial" w:cs="Arial" w:eastAsia="Arial" w:hAnsi="Arial"/>
          <w:color w:val="69747B"/>
          <w:sz w:val="20"/>
          <w:szCs w:val="20"/>
        </w:rPr>
        <w:t xml:space="preserve">09   </w:t>
      </w:r>
      <w:r>
        <w:rPr>
          <w:rFonts w:ascii="Arial" w:cs="Arial" w:eastAsia="Arial" w:hAnsi="Arial"/>
          <w:b/>
          <w:bCs/>
          <w:color w:val="18232B"/>
          <w:sz w:val="30"/>
          <w:szCs w:val="30"/>
        </w:rPr>
        <w:t xml:space="preserve">Monitoring, Reporting &amp; Transparency</w:t>
      </w:r>
    </w:p>
    <w:p>
      <w:pPr>
        <w:pStyle w:val="PolicyBody"/>
        <w:spacing w:after="150" w:line="324"/>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6323D" w:sz="4" w:space="1"/>
        </w:pBdr>
        <w:spacing w:after="180" w:before="260"/>
        <w:jc w:val="left"/>
      </w:pPr>
      <w:bookmarkStart w:name="standard-review" w:id="1"/>
      <w:bookmarkEnd w:id="1"/>
      <w:r>
        <w:rPr>
          <w:rFonts w:ascii="Arial" w:cs="Arial" w:eastAsia="Arial" w:hAnsi="Arial"/>
          <w:color w:val="69747B"/>
          <w:sz w:val="20"/>
          <w:szCs w:val="20"/>
        </w:rPr>
        <w:t xml:space="preserve">10   </w:t>
      </w:r>
      <w:r>
        <w:rPr>
          <w:rFonts w:ascii="Arial" w:cs="Arial" w:eastAsia="Arial" w:hAnsi="Arial"/>
          <w:b/>
          <w:bCs/>
          <w:color w:val="18232B"/>
          <w:sz w:val="30"/>
          <w:szCs w:val="30"/>
        </w:rPr>
        <w:t xml:space="preserve">Review Mechanism &amp; Continuous Improvement</w:t>
      </w:r>
    </w:p>
    <w:p>
      <w:pPr>
        <w:pStyle w:val="PolicyBody"/>
        <w:spacing w:after="150" w:line="324"/>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8232B"/>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8232B"/>
          <w:sz w:val="36"/>
          <w:szCs w:val="36"/>
        </w:rPr>
        <w:t xml:space="preserve">Employee Acknowledgement Form</w:t>
      </w:r>
    </w:p>
    <w:p>
      <w:pPr>
        <w:spacing w:after="260" w:line="324"/>
        <w:jc w:val="both"/>
      </w:pPr>
      <w:r>
        <w:rPr>
          <w:rFonts w:ascii="Arial" w:cs="Arial" w:eastAsia="Arial" w:hAnsi="Arial"/>
          <w:sz w:val="21"/>
          <w:szCs w:val="21"/>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NAME</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ID</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DEPARTMENT</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DATE</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SIGNATURE</w:t>
            </w:r>
          </w:p>
          <w:p>
            <w:pPr>
              <w:pBdr>
                <w:bottom w:val="single" w:color="6974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5" w:space="1"/>
      </w:pBdr>
      <w:spacing w:before="80"/>
      <w:jc w:val="left"/>
    </w:pPr>
    <w:r>
      <w:rPr>
        <w:rFonts w:ascii="Arial" w:cs="Arial" w:eastAsia="Arial" w:hAnsi="Arial"/>
        <w:i w:val="false"/>
        <w:iCs w:val="false"/>
        <w:color w:val="69747B"/>
        <w:sz w:val="14"/>
        <w:szCs w:val="14"/>
      </w:rPr>
      <w:t xml:space="preserve">Effective 2025-01-15   -   Revision 01   -   Page </w:t>
    </w:r>
    <w:r>
      <w:rPr>
        <w:rFonts w:ascii="Arial" w:cs="Arial" w:eastAsia="Arial" w:hAnsi="Arial"/>
        <w:color w:val="697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DEE2" w:sz="5" w:space="1"/>
      </w:pBdr>
      <w:spacing w:after="60"/>
      <w:jc w:val="left"/>
    </w:pPr>
    <w:r>
      <w:rPr>
        <w:rFonts w:ascii="Arial" w:cs="Arial" w:eastAsia="Arial" w:hAnsi="Arial"/>
        <w:b/>
        <w:bCs/>
        <w:color w:val="6974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Arial" w:cs="Arial" w:eastAsia="Arial" w:hAnsi="Arial"/>
        <w:color w:val="26323D"/>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Arial" w:cs="Arial" w:eastAsia="Arial" w:hAnsi="Arial"/>
        <w:b/>
        <w:bCs/>
        <w:color w:val="2632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8232B"/>
      <w:sz w:val="30"/>
      <w:szCs w:val="30"/>
    </w:rPr>
  </w:style>
  <w:style w:type="paragraph" w:styleId="PolicyBody">
    <w:name w:val="Policy Body"/>
    <w:basedOn w:val="Normal"/>
    <w:next w:val="PolicyBody"/>
    <w:qFormat/>
    <w:pPr>
      <w:spacing w:after="123" w:line="324"/>
    </w:pPr>
    <w:rPr>
      <w:rFonts w:ascii="Arial" w:cs="Arial" w:eastAsia="Arial" w:hAnsi="Arial"/>
      <w:color w:val="1D25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2026-09-08T05:39:39.740Z</dcterms:created>
  <dcterms:modified xsi:type="dcterms:W3CDTF">2026-09-08T05:39:39.740Z</dcterms:modified>
</cp:coreProperties>
</file>

<file path=docProps/custom.xml><?xml version="1.0" encoding="utf-8"?>
<Properties xmlns="http://schemas.openxmlformats.org/officeDocument/2006/custom-properties" xmlns:vt="http://schemas.openxmlformats.org/officeDocument/2006/docPropsVTypes"/>
</file>