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57585"/>
          <w:sz w:val="25"/>
          <w:szCs w:val="25"/>
        </w:rPr>
        <w:t xml:space="preserve">Acme Specialty Chemicals Pvt. Ltd.</w:t>
      </w:r>
    </w:p>
    <w:p>
      <w:pPr>
        <w:spacing w:before="1701"/>
      </w:pPr>
      <w:r>
        <w:rPr>
          <w:sz w:val="2"/>
          <w:szCs w:val="2"/>
        </w:rPr>
        <w:t xml:space="preserve"> </w:t>
      </w:r>
    </w:p>
    <w:p>
      <w:pPr>
        <w:pBdr>
          <w:bottom w:val="single" w:color="183A5A" w:sz="6" w:space="1"/>
        </w:pBdr>
        <w:spacing w:after="360"/>
      </w:pPr>
    </w:p>
    <w:p>
      <w:pPr>
        <w:spacing w:after="140"/>
        <w:jc w:val="left"/>
      </w:pPr>
      <w:r>
        <w:rPr>
          <w:rFonts w:ascii="Arial" w:cs="Arial" w:eastAsia="Arial" w:hAnsi="Arial"/>
          <w:b/>
          <w:bCs/>
          <w:color w:val="102840"/>
          <w:sz w:val="60"/>
          <w:szCs w:val="60"/>
        </w:rPr>
        <w:t xml:space="preserve">Ethics Policy</w:t>
      </w:r>
    </w:p>
    <w:p>
      <w:pPr>
        <w:spacing w:before="900"/>
      </w:pPr>
      <w:r>
        <w:rPr>
          <w:sz w:val="2"/>
          <w:szCs w:val="2"/>
        </w:rPr>
        <w:t xml:space="preserve"> </w:t>
      </w:r>
    </w:p>
    <w:p>
      <w:pPr>
        <w:pBdr>
          <w:top w:val="single" w:color="D1DCE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DOCUMENT NO.</w:t>
            </w:r>
          </w:p>
          <w:p>
            <w:pPr>
              <w:spacing w:after="180"/>
            </w:pPr>
            <w:r>
              <w:rPr>
                <w:rFonts w:ascii="Arial" w:cs="Arial" w:eastAsia="Arial" w:hAnsi="Arial"/>
                <w:color w:val="657585"/>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EFFECTIVE DATE</w:t>
            </w:r>
          </w:p>
          <w:p>
            <w:pPr>
              <w:spacing w:after="180"/>
            </w:pPr>
            <w:r>
              <w:rPr>
                <w:rFonts w:ascii="Arial" w:cs="Arial" w:eastAsia="Arial" w:hAnsi="Arial"/>
                <w:color w:val="657585"/>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REVISION</w:t>
            </w:r>
          </w:p>
          <w:p>
            <w:pPr>
              <w:spacing w:after="180"/>
            </w:pPr>
            <w:r>
              <w:rPr>
                <w:rFonts w:ascii="Arial" w:cs="Arial" w:eastAsia="Arial" w:hAnsi="Arial"/>
                <w:color w:val="657585"/>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57585"/>
                <w:sz w:val="15"/>
                <w:szCs w:val="15"/>
              </w:rPr>
              <w:t xml:space="preserve">NEXT REVIEW</w:t>
            </w:r>
          </w:p>
          <w:p>
            <w:pPr>
              <w:spacing w:after="180"/>
            </w:pPr>
            <w:r>
              <w:rPr>
                <w:rFonts w:ascii="Arial" w:cs="Arial" w:eastAsia="Arial" w:hAnsi="Arial"/>
                <w:color w:val="657585"/>
                <w:sz w:val="20"/>
                <w:szCs w:val="20"/>
              </w:rPr>
              <w:t xml:space="preserve">2027-01-14</w:t>
            </w:r>
          </w:p>
        </w:tc>
      </w:tr>
    </w:tbl>
    <w:p>
      <w:r>
        <w:br w:type="page"/>
      </w:r>
    </w:p>
    <w:p>
      <w:pPr>
        <w:pStyle w:val="PolicyHeading"/>
        <w:spacing w:after="360"/>
        <w:jc w:val="left"/>
      </w:pPr>
      <w:r>
        <w:t xml:space="preserve">Contents</w:t>
      </w:r>
    </w:p>
    <w:p>
      <w:pPr>
        <w:pBdr>
          <w:bottom w:val="dotted" w:color="D1DCE8" w:sz="3" w:space="1"/>
        </w:pBdr>
        <w:spacing w:after="95" w:before="60"/>
      </w:pPr>
      <w:hyperlink w:history="1" w:anchor="standard-preface">
        <w:r>
          <w:rPr>
            <w:rFonts w:ascii="Arial" w:cs="Arial" w:eastAsia="Arial" w:hAnsi="Arial"/>
            <w:b/>
            <w:bCs/>
            <w:color w:val="183A5A"/>
            <w:sz w:val="20"/>
            <w:szCs w:val="20"/>
          </w:rPr>
          <w:t xml:space="preserve">01   </w:t>
        </w:r>
        <w:r>
          <w:rPr>
            <w:rFonts w:ascii="Arial" w:cs="Arial" w:eastAsia="Arial" w:hAnsi="Arial"/>
            <w:color w:val="102840"/>
            <w:sz w:val="20"/>
            <w:szCs w:val="20"/>
          </w:rPr>
          <w:t xml:space="preserve">Preface</w:t>
        </w:r>
      </w:hyperlink>
    </w:p>
    <w:p>
      <w:pPr>
        <w:pBdr>
          <w:bottom w:val="dotted" w:color="D1DCE8" w:sz="3" w:space="1"/>
        </w:pBdr>
        <w:spacing w:after="95" w:before="60"/>
      </w:pPr>
      <w:hyperlink w:history="1" w:anchor="standard-declaration">
        <w:r>
          <w:rPr>
            <w:rFonts w:ascii="Arial" w:cs="Arial" w:eastAsia="Arial" w:hAnsi="Arial"/>
            <w:b/>
            <w:bCs/>
            <w:color w:val="183A5A"/>
            <w:sz w:val="20"/>
            <w:szCs w:val="20"/>
          </w:rPr>
          <w:t xml:space="preserve">02   </w:t>
        </w:r>
        <w:r>
          <w:rPr>
            <w:rFonts w:ascii="Arial" w:cs="Arial" w:eastAsia="Arial" w:hAnsi="Arial"/>
            <w:color w:val="102840"/>
            <w:sz w:val="20"/>
            <w:szCs w:val="20"/>
          </w:rPr>
          <w:t xml:space="preserve">Policy Declaration</w:t>
        </w:r>
      </w:hyperlink>
    </w:p>
    <w:p>
      <w:pPr>
        <w:pBdr>
          <w:bottom w:val="dotted" w:color="D1DCE8" w:sz="3" w:space="1"/>
        </w:pBdr>
        <w:spacing w:after="95" w:before="60"/>
      </w:pPr>
      <w:hyperlink w:history="1" w:anchor="standard-scope">
        <w:r>
          <w:rPr>
            <w:rFonts w:ascii="Arial" w:cs="Arial" w:eastAsia="Arial" w:hAnsi="Arial"/>
            <w:b/>
            <w:bCs/>
            <w:color w:val="183A5A"/>
            <w:sz w:val="20"/>
            <w:szCs w:val="20"/>
          </w:rPr>
          <w:t xml:space="preserve">03   </w:t>
        </w:r>
        <w:r>
          <w:rPr>
            <w:rFonts w:ascii="Arial" w:cs="Arial" w:eastAsia="Arial" w:hAnsi="Arial"/>
            <w:color w:val="102840"/>
            <w:sz w:val="20"/>
            <w:szCs w:val="20"/>
          </w:rPr>
          <w:t xml:space="preserve">Scope</w:t>
        </w:r>
      </w:hyperlink>
    </w:p>
    <w:p>
      <w:pPr>
        <w:pBdr>
          <w:bottom w:val="dotted" w:color="D1DCE8" w:sz="3" w:space="1"/>
        </w:pBdr>
        <w:spacing w:after="95" w:before="60"/>
      </w:pPr>
      <w:hyperlink w:history="1" w:anchor="standard-focus">
        <w:r>
          <w:rPr>
            <w:rFonts w:ascii="Arial" w:cs="Arial" w:eastAsia="Arial" w:hAnsi="Arial"/>
            <w:b/>
            <w:bCs/>
            <w:color w:val="183A5A"/>
            <w:sz w:val="20"/>
            <w:szCs w:val="20"/>
          </w:rPr>
          <w:t xml:space="preserve">04   </w:t>
        </w:r>
        <w:r>
          <w:rPr>
            <w:rFonts w:ascii="Arial" w:cs="Arial" w:eastAsia="Arial" w:hAnsi="Arial"/>
            <w:color w:val="102840"/>
            <w:sz w:val="20"/>
            <w:szCs w:val="20"/>
          </w:rPr>
          <w:t xml:space="preserve">Key Focus Areas</w:t>
        </w:r>
      </w:hyperlink>
    </w:p>
    <w:p>
      <w:pPr>
        <w:pBdr>
          <w:bottom w:val="dotted" w:color="D1DCE8" w:sz="3" w:space="1"/>
        </w:pBdr>
        <w:spacing w:after="95" w:before="60"/>
      </w:pPr>
      <w:hyperlink w:history="1" w:anchor="standard-qualitative">
        <w:r>
          <w:rPr>
            <w:rFonts w:ascii="Arial" w:cs="Arial" w:eastAsia="Arial" w:hAnsi="Arial"/>
            <w:b/>
            <w:bCs/>
            <w:color w:val="183A5A"/>
            <w:sz w:val="20"/>
            <w:szCs w:val="20"/>
          </w:rPr>
          <w:t xml:space="preserve">05   </w:t>
        </w:r>
        <w:r>
          <w:rPr>
            <w:rFonts w:ascii="Arial" w:cs="Arial" w:eastAsia="Arial" w:hAnsi="Arial"/>
            <w:color w:val="102840"/>
            <w:sz w:val="20"/>
            <w:szCs w:val="20"/>
          </w:rPr>
          <w:t xml:space="preserve">Qualitative Objectives</w:t>
        </w:r>
      </w:hyperlink>
    </w:p>
    <w:p>
      <w:pPr>
        <w:pBdr>
          <w:bottom w:val="dotted" w:color="D1DCE8" w:sz="3" w:space="1"/>
        </w:pBdr>
        <w:spacing w:after="95" w:before="60"/>
      </w:pPr>
      <w:hyperlink w:history="1" w:anchor="standard-quantitative">
        <w:r>
          <w:rPr>
            <w:rFonts w:ascii="Arial" w:cs="Arial" w:eastAsia="Arial" w:hAnsi="Arial"/>
            <w:b/>
            <w:bCs/>
            <w:color w:val="183A5A"/>
            <w:sz w:val="20"/>
            <w:szCs w:val="20"/>
          </w:rPr>
          <w:t xml:space="preserve">06   </w:t>
        </w:r>
        <w:r>
          <w:rPr>
            <w:rFonts w:ascii="Arial" w:cs="Arial" w:eastAsia="Arial" w:hAnsi="Arial"/>
            <w:color w:val="102840"/>
            <w:sz w:val="20"/>
            <w:szCs w:val="20"/>
          </w:rPr>
          <w:t xml:space="preserve">Quantitative Targets</w:t>
        </w:r>
      </w:hyperlink>
    </w:p>
    <w:p>
      <w:pPr>
        <w:pBdr>
          <w:bottom w:val="dotted" w:color="D1DCE8" w:sz="3" w:space="1"/>
        </w:pBdr>
        <w:spacing w:after="95" w:before="60"/>
      </w:pPr>
      <w:hyperlink w:history="1" w:anchor="standard-sdg">
        <w:r>
          <w:rPr>
            <w:rFonts w:ascii="Arial" w:cs="Arial" w:eastAsia="Arial" w:hAnsi="Arial"/>
            <w:b/>
            <w:bCs/>
            <w:color w:val="183A5A"/>
            <w:sz w:val="20"/>
            <w:szCs w:val="20"/>
          </w:rPr>
          <w:t xml:space="preserve">07   </w:t>
        </w:r>
        <w:r>
          <w:rPr>
            <w:rFonts w:ascii="Arial" w:cs="Arial" w:eastAsia="Arial" w:hAnsi="Arial"/>
            <w:color w:val="102840"/>
            <w:sz w:val="20"/>
            <w:szCs w:val="20"/>
          </w:rPr>
          <w:t xml:space="preserve">SDG Alignment</w:t>
        </w:r>
      </w:hyperlink>
    </w:p>
    <w:p>
      <w:pPr>
        <w:pBdr>
          <w:bottom w:val="dotted" w:color="D1DCE8" w:sz="3" w:space="1"/>
        </w:pBdr>
        <w:spacing w:after="95" w:before="60"/>
      </w:pPr>
      <w:hyperlink w:history="1" w:anchor="standard-responsibilities">
        <w:r>
          <w:rPr>
            <w:rFonts w:ascii="Arial" w:cs="Arial" w:eastAsia="Arial" w:hAnsi="Arial"/>
            <w:b/>
            <w:bCs/>
            <w:color w:val="183A5A"/>
            <w:sz w:val="20"/>
            <w:szCs w:val="20"/>
          </w:rPr>
          <w:t xml:space="preserve">08   </w:t>
        </w:r>
        <w:r>
          <w:rPr>
            <w:rFonts w:ascii="Arial" w:cs="Arial" w:eastAsia="Arial" w:hAnsi="Arial"/>
            <w:color w:val="102840"/>
            <w:sz w:val="20"/>
            <w:szCs w:val="20"/>
          </w:rPr>
          <w:t xml:space="preserve">Roles &amp; Responsibilities</w:t>
        </w:r>
      </w:hyperlink>
    </w:p>
    <w:p>
      <w:pPr>
        <w:pBdr>
          <w:bottom w:val="dotted" w:color="D1DCE8" w:sz="3" w:space="1"/>
        </w:pBdr>
        <w:spacing w:after="95" w:before="60"/>
      </w:pPr>
      <w:hyperlink w:history="1" w:anchor="standard-monitoring">
        <w:r>
          <w:rPr>
            <w:rFonts w:ascii="Arial" w:cs="Arial" w:eastAsia="Arial" w:hAnsi="Arial"/>
            <w:b/>
            <w:bCs/>
            <w:color w:val="183A5A"/>
            <w:sz w:val="20"/>
            <w:szCs w:val="20"/>
          </w:rPr>
          <w:t xml:space="preserve">09   </w:t>
        </w:r>
        <w:r>
          <w:rPr>
            <w:rFonts w:ascii="Arial" w:cs="Arial" w:eastAsia="Arial" w:hAnsi="Arial"/>
            <w:color w:val="102840"/>
            <w:sz w:val="20"/>
            <w:szCs w:val="20"/>
          </w:rPr>
          <w:t xml:space="preserve">Monitoring, Reporting &amp; Transparency</w:t>
        </w:r>
      </w:hyperlink>
    </w:p>
    <w:p>
      <w:pPr>
        <w:pBdr>
          <w:bottom w:val="dotted" w:color="D1DCE8" w:sz="3" w:space="1"/>
        </w:pBdr>
        <w:spacing w:after="95" w:before="60"/>
      </w:pPr>
      <w:hyperlink w:history="1" w:anchor="standard-review">
        <w:r>
          <w:rPr>
            <w:rFonts w:ascii="Arial" w:cs="Arial" w:eastAsia="Arial" w:hAnsi="Arial"/>
            <w:b/>
            <w:bCs/>
            <w:color w:val="183A5A"/>
            <w:sz w:val="20"/>
            <w:szCs w:val="20"/>
          </w:rPr>
          <w:t xml:space="preserve">10   </w:t>
        </w:r>
        <w:r>
          <w:rPr>
            <w:rFonts w:ascii="Arial" w:cs="Arial" w:eastAsia="Arial" w:hAnsi="Arial"/>
            <w:color w:val="102840"/>
            <w:sz w:val="20"/>
            <w:szCs w:val="20"/>
          </w:rPr>
          <w:t xml:space="preserve">Review Mechanism &amp; Continuous Improvement</w:t>
        </w:r>
      </w:hyperlink>
    </w:p>
    <w:p>
      <w:r>
        <w:br w:type="page"/>
      </w:r>
    </w:p>
    <w:p>
      <w:pPr>
        <w:pStyle w:val="PolicyHeading"/>
        <w:pBdr>
          <w:bottom w:val="single" w:color="183A5A" w:sz="4" w:space="1"/>
        </w:pBdr>
        <w:spacing w:after="180" w:before="260"/>
        <w:jc w:val="left"/>
      </w:pPr>
      <w:bookmarkStart w:name="standard-preface" w:id="1"/>
      <w:bookmarkEnd w:id="1"/>
      <w:r>
        <w:rPr>
          <w:rFonts w:ascii="Arial" w:cs="Arial" w:eastAsia="Arial" w:hAnsi="Arial"/>
          <w:color w:val="657585"/>
          <w:sz w:val="20"/>
          <w:szCs w:val="20"/>
        </w:rPr>
        <w:t xml:space="preserve">01   </w:t>
      </w:r>
      <w:r>
        <w:rPr>
          <w:rFonts w:ascii="Arial" w:cs="Arial" w:eastAsia="Arial" w:hAnsi="Arial"/>
          <w:b/>
          <w:bCs/>
          <w:color w:val="102840"/>
          <w:sz w:val="32"/>
          <w:szCs w:val="32"/>
        </w:rPr>
        <w:t xml:space="preserve">Preface</w:t>
      </w:r>
    </w:p>
    <w:p>
      <w:pPr>
        <w:pStyle w:val="PolicyBody"/>
        <w:spacing w:after="150" w:line="312"/>
        <w:jc w:val="both"/>
      </w:pPr>
      <w:r>
        <w:rPr>
          <w:rFonts w:ascii="Arial" w:cs="Arial" w:eastAsia="Arial" w:hAnsi="Arial"/>
          <w:sz w:val="21"/>
          <w:szCs w:val="21"/>
        </w:rPr>
        <w:t xml:space="preserve">Ethics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183A5A" w:sz="4" w:space="1"/>
        </w:pBdr>
        <w:spacing w:after="180" w:before="260"/>
        <w:jc w:val="left"/>
      </w:pPr>
      <w:bookmarkStart w:name="standard-declaration" w:id="1"/>
      <w:bookmarkEnd w:id="1"/>
      <w:r>
        <w:rPr>
          <w:rFonts w:ascii="Arial" w:cs="Arial" w:eastAsia="Arial" w:hAnsi="Arial"/>
          <w:color w:val="657585"/>
          <w:sz w:val="20"/>
          <w:szCs w:val="20"/>
        </w:rPr>
        <w:t xml:space="preserve">02   </w:t>
      </w:r>
      <w:r>
        <w:rPr>
          <w:rFonts w:ascii="Arial" w:cs="Arial" w:eastAsia="Arial" w:hAnsi="Arial"/>
          <w:b/>
          <w:bCs/>
          <w:color w:val="102840"/>
          <w:sz w:val="32"/>
          <w:szCs w:val="32"/>
        </w:rPr>
        <w:t xml:space="preserve">Policy Declaration</w:t>
      </w:r>
    </w:p>
    <w:p>
      <w:pPr>
        <w:pStyle w:val="PolicyBody"/>
        <w:spacing w:after="150" w:line="312"/>
        <w:jc w:val="both"/>
      </w:pPr>
      <w:r>
        <w:rPr>
          <w:rFonts w:ascii="Arial" w:cs="Arial" w:eastAsia="Arial" w:hAnsi="Arial"/>
          <w:sz w:val="21"/>
          <w:szCs w:val="21"/>
        </w:rPr>
        <w:t xml:space="preserve">Acme Specialty Chemicals affirms its commitment to implementing this Ethics Policy in line with applicable requirements, proportionate controls, and regular management review.</w:t>
      </w:r>
    </w:p>
    <w:p>
      <w:pPr>
        <w:spacing w:before="115"/>
      </w:pPr>
      <w:r>
        <w:rPr>
          <w:sz w:val="2"/>
          <w:szCs w:val="2"/>
        </w:rPr>
        <w:t xml:space="preserve"> </w:t>
      </w:r>
    </w:p>
    <w:p>
      <w:pPr>
        <w:pStyle w:val="PolicyHeading"/>
        <w:pBdr>
          <w:bottom w:val="single" w:color="183A5A" w:sz="4" w:space="1"/>
        </w:pBdr>
        <w:spacing w:after="180" w:before="260"/>
        <w:jc w:val="left"/>
      </w:pPr>
      <w:bookmarkStart w:name="standard-scope" w:id="1"/>
      <w:bookmarkEnd w:id="1"/>
      <w:r>
        <w:rPr>
          <w:rFonts w:ascii="Arial" w:cs="Arial" w:eastAsia="Arial" w:hAnsi="Arial"/>
          <w:color w:val="657585"/>
          <w:sz w:val="20"/>
          <w:szCs w:val="20"/>
        </w:rPr>
        <w:t xml:space="preserve">03   </w:t>
      </w:r>
      <w:r>
        <w:rPr>
          <w:rFonts w:ascii="Arial" w:cs="Arial" w:eastAsia="Arial" w:hAnsi="Arial"/>
          <w:b/>
          <w:bCs/>
          <w:color w:val="102840"/>
          <w:sz w:val="32"/>
          <w:szCs w:val="32"/>
        </w:rPr>
        <w:t xml:space="preserve">Scope</w:t>
      </w:r>
    </w:p>
    <w:p>
      <w:pPr>
        <w:pStyle w:val="PolicyBody"/>
        <w:spacing w:after="150" w:line="312"/>
        <w:jc w:val="both"/>
      </w:pPr>
      <w:r>
        <w:rPr>
          <w:rFonts w:ascii="Arial" w:cs="Arial" w:eastAsia="Arial" w:hAnsi="Arial"/>
          <w:sz w:val="21"/>
          <w:szCs w:val="21"/>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Location / Unit</w:t>
            </w:r>
          </w:p>
        </w:tc>
        <w:tc>
          <w:tcPr>
            <w:tcW w:type="dxa" w:w="47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Address</w:t>
            </w:r>
          </w:p>
        </w:tc>
        <w:tc>
          <w:tcPr>
            <w:tcW w:type="dxa" w:w="238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Primary Function</w:t>
            </w:r>
          </w:p>
        </w:tc>
      </w:tr>
      <w:tr>
        <w:trPr>
          <w:cantSplit/>
        </w:trPr>
        <w:tc>
          <w:tcPr>
            <w:tcW w:type="dxa" w:w="228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focus" w:id="1"/>
      <w:bookmarkEnd w:id="1"/>
      <w:r>
        <w:rPr>
          <w:rFonts w:ascii="Arial" w:cs="Arial" w:eastAsia="Arial" w:hAnsi="Arial"/>
          <w:color w:val="657585"/>
          <w:sz w:val="20"/>
          <w:szCs w:val="20"/>
        </w:rPr>
        <w:t xml:space="preserve">04   </w:t>
      </w:r>
      <w:r>
        <w:rPr>
          <w:rFonts w:ascii="Arial" w:cs="Arial" w:eastAsia="Arial" w:hAnsi="Arial"/>
          <w:b/>
          <w:bCs/>
          <w:color w:val="102840"/>
          <w:sz w:val="32"/>
          <w:szCs w:val="32"/>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01</w:t>
            </w:r>
            <w:r>
              <w:rPr>
                <w:rFonts w:ascii="Arial" w:cs="Arial" w:eastAsia="Arial" w:hAnsi="Arial"/>
                <w:b/>
                <w:bCs/>
                <w:color w:val="1C2732"/>
                <w:sz w:val="26"/>
                <w:szCs w:val="26"/>
              </w:rPr>
              <w:t xml:space="preserve">  Anti-Corruption &amp; Anti-Bribery</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02</w:t>
            </w:r>
            <w:r>
              <w:rPr>
                <w:rFonts w:ascii="Arial" w:cs="Arial" w:eastAsia="Arial" w:hAnsi="Arial"/>
                <w:b/>
                <w:bCs/>
                <w:color w:val="1C2732"/>
                <w:sz w:val="26"/>
                <w:szCs w:val="26"/>
              </w:rPr>
              <w:t xml:space="preserve">  Conflicts of Interest</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03</w:t>
            </w:r>
            <w:r>
              <w:rPr>
                <w:rFonts w:ascii="Arial" w:cs="Arial" w:eastAsia="Arial" w:hAnsi="Arial"/>
                <w:b/>
                <w:bCs/>
                <w:color w:val="1C2732"/>
                <w:sz w:val="26"/>
                <w:szCs w:val="26"/>
              </w:rPr>
              <w:t xml:space="preserve">  Data Privacy &amp; Confidentiality</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04</w:t>
            </w:r>
            <w:r>
              <w:rPr>
                <w:rFonts w:ascii="Arial" w:cs="Arial" w:eastAsia="Arial" w:hAnsi="Arial"/>
                <w:b/>
                <w:bCs/>
                <w:color w:val="1C2732"/>
                <w:sz w:val="26"/>
                <w:szCs w:val="26"/>
              </w:rPr>
              <w:t xml:space="preserve">  Gifts &amp; Hospitality</w:t>
            </w:r>
          </w:p>
        </w:tc>
      </w:tr>
      <w:tr>
        <w:trPr>
          <w:cantSplit/>
        </w:trPr>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pPr>
              <w:spacing w:after="70"/>
            </w:pPr>
            <w:r>
              <w:rPr>
                <w:rFonts w:ascii="Arial" w:cs="Arial" w:eastAsia="Arial" w:hAnsi="Arial"/>
                <w:color w:val="183A5A"/>
                <w:sz w:val="20"/>
                <w:szCs w:val="20"/>
              </w:rPr>
              <w:t xml:space="preserve">05</w:t>
            </w:r>
            <w:r>
              <w:rPr>
                <w:rFonts w:ascii="Arial" w:cs="Arial" w:eastAsia="Arial" w:hAnsi="Arial"/>
                <w:b/>
                <w:bCs/>
                <w:color w:val="1C2732"/>
                <w:sz w:val="26"/>
                <w:szCs w:val="26"/>
              </w:rPr>
              <w:t xml:space="preserve">  Whistleblowing &amp; Speak-Up</w:t>
            </w:r>
          </w:p>
        </w:tc>
        <w:tc>
          <w:tcPr>
            <w:tcW w:type="dxa" w:w="4626"/>
            <w:tcBorders>
              <w:top w:val="single" w:color="D1DCE8" w:sz="5" w:space="1"/>
              <w:left w:val="single" w:color="D1DCE8" w:sz="5" w:space="1"/>
              <w:bottom w:val="single" w:color="D1DCE8" w:sz="5" w:space="1"/>
              <w:right w:val="single" w:color="D1DCE8"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qualitative" w:id="1"/>
      <w:bookmarkEnd w:id="1"/>
      <w:r>
        <w:rPr>
          <w:rFonts w:ascii="Arial" w:cs="Arial" w:eastAsia="Arial" w:hAnsi="Arial"/>
          <w:color w:val="657585"/>
          <w:sz w:val="20"/>
          <w:szCs w:val="20"/>
        </w:rPr>
        <w:t xml:space="preserve">05   </w:t>
      </w:r>
      <w:r>
        <w:rPr>
          <w:rFonts w:ascii="Arial" w:cs="Arial" w:eastAsia="Arial" w:hAnsi="Arial"/>
          <w:b/>
          <w:bCs/>
          <w:color w:val="102840"/>
          <w:sz w:val="32"/>
          <w:szCs w:val="32"/>
        </w:rPr>
        <w:t xml:space="preserve">Qualitative Objectives</w:t>
      </w:r>
    </w:p>
    <w:p>
      <w:pPr>
        <w:spacing w:after="90"/>
      </w:pPr>
      <w:r>
        <w:rPr>
          <w:rFonts w:ascii="Arial" w:cs="Arial" w:eastAsia="Arial" w:hAnsi="Arial"/>
          <w:b/>
          <w:bCs/>
          <w:color w:val="183A5A"/>
          <w:sz w:val="18"/>
          <w:szCs w:val="18"/>
        </w:rPr>
        <w:t xml:space="preserve">01  </w:t>
      </w:r>
      <w:r>
        <w:rPr>
          <w:rFonts w:ascii="Arial" w:cs="Arial" w:eastAsia="Arial" w:hAnsi="Arial"/>
          <w:b/>
          <w:bCs/>
          <w:color w:val="102840"/>
          <w:sz w:val="26"/>
          <w:szCs w:val="26"/>
        </w:rPr>
        <w:t xml:space="preserve">Anti-Corruption &amp; Anti-Bribery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anti-corruption &amp; anti-bribery.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anti-corruption &amp; anti-bribery.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anti-corruption &amp; anti-bribery.</w:t>
      </w:r>
    </w:p>
    <w:p>
      <w:pPr>
        <w:spacing w:before="70"/>
      </w:pPr>
      <w:r>
        <w:rPr>
          <w:sz w:val="2"/>
          <w:szCs w:val="2"/>
        </w:rPr>
        <w:t xml:space="preserve"> </w:t>
      </w:r>
    </w:p>
    <w:p>
      <w:pPr>
        <w:spacing w:after="90"/>
      </w:pPr>
      <w:r>
        <w:rPr>
          <w:rFonts w:ascii="Arial" w:cs="Arial" w:eastAsia="Arial" w:hAnsi="Arial"/>
          <w:b/>
          <w:bCs/>
          <w:color w:val="183A5A"/>
          <w:sz w:val="18"/>
          <w:szCs w:val="18"/>
        </w:rPr>
        <w:t xml:space="preserve">02  </w:t>
      </w:r>
      <w:r>
        <w:rPr>
          <w:rFonts w:ascii="Arial" w:cs="Arial" w:eastAsia="Arial" w:hAnsi="Arial"/>
          <w:b/>
          <w:bCs/>
          <w:color w:val="102840"/>
          <w:sz w:val="26"/>
          <w:szCs w:val="26"/>
        </w:rPr>
        <w:t xml:space="preserve">Conflicts of Interest</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conflicts of interest.</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conflicts of interest.</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conflicts of interest.</w:t>
      </w:r>
    </w:p>
    <w:p>
      <w:pPr>
        <w:spacing w:before="70"/>
      </w:pPr>
      <w:r>
        <w:rPr>
          <w:sz w:val="2"/>
          <w:szCs w:val="2"/>
        </w:rPr>
        <w:t xml:space="preserve"> </w:t>
      </w:r>
    </w:p>
    <w:p>
      <w:pPr>
        <w:spacing w:after="90"/>
      </w:pPr>
      <w:r>
        <w:rPr>
          <w:rFonts w:ascii="Arial" w:cs="Arial" w:eastAsia="Arial" w:hAnsi="Arial"/>
          <w:b/>
          <w:bCs/>
          <w:color w:val="183A5A"/>
          <w:sz w:val="18"/>
          <w:szCs w:val="18"/>
        </w:rPr>
        <w:t xml:space="preserve">03  </w:t>
      </w:r>
      <w:r>
        <w:rPr>
          <w:rFonts w:ascii="Arial" w:cs="Arial" w:eastAsia="Arial" w:hAnsi="Arial"/>
          <w:b/>
          <w:bCs/>
          <w:color w:val="102840"/>
          <w:sz w:val="26"/>
          <w:szCs w:val="26"/>
        </w:rPr>
        <w:t xml:space="preserve">Data Privacy &amp; Confidentiality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data privacy &amp; confidentiality.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data privacy &amp; confidentiality.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data privacy &amp; confidentiality.</w:t>
      </w:r>
    </w:p>
    <w:p>
      <w:pPr>
        <w:spacing w:before="70"/>
      </w:pPr>
      <w:r>
        <w:rPr>
          <w:sz w:val="2"/>
          <w:szCs w:val="2"/>
        </w:rPr>
        <w:t xml:space="preserve"> </w:t>
      </w:r>
    </w:p>
    <w:p>
      <w:pPr>
        <w:spacing w:after="90"/>
      </w:pPr>
      <w:r>
        <w:rPr>
          <w:rFonts w:ascii="Arial" w:cs="Arial" w:eastAsia="Arial" w:hAnsi="Arial"/>
          <w:b/>
          <w:bCs/>
          <w:color w:val="183A5A"/>
          <w:sz w:val="18"/>
          <w:szCs w:val="18"/>
        </w:rPr>
        <w:t xml:space="preserve">04  </w:t>
      </w:r>
      <w:r>
        <w:rPr>
          <w:rFonts w:ascii="Arial" w:cs="Arial" w:eastAsia="Arial" w:hAnsi="Arial"/>
          <w:b/>
          <w:bCs/>
          <w:color w:val="102840"/>
          <w:sz w:val="26"/>
          <w:szCs w:val="26"/>
        </w:rPr>
        <w:t xml:space="preserve">Gifts &amp; Hospitality</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gifts &amp; hospitality.</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gifts &amp; hospitality.</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gifts &amp; hospitality.</w:t>
      </w:r>
    </w:p>
    <w:p>
      <w:pPr>
        <w:spacing w:before="70"/>
      </w:pPr>
      <w:r>
        <w:rPr>
          <w:sz w:val="2"/>
          <w:szCs w:val="2"/>
        </w:rPr>
        <w:t xml:space="preserve"> </w:t>
      </w:r>
    </w:p>
    <w:p>
      <w:pPr>
        <w:spacing w:after="90"/>
      </w:pPr>
      <w:r>
        <w:rPr>
          <w:rFonts w:ascii="Arial" w:cs="Arial" w:eastAsia="Arial" w:hAnsi="Arial"/>
          <w:b/>
          <w:bCs/>
          <w:color w:val="183A5A"/>
          <w:sz w:val="18"/>
          <w:szCs w:val="18"/>
        </w:rPr>
        <w:t xml:space="preserve">05  </w:t>
      </w:r>
      <w:r>
        <w:rPr>
          <w:rFonts w:ascii="Arial" w:cs="Arial" w:eastAsia="Arial" w:hAnsi="Arial"/>
          <w:b/>
          <w:bCs/>
          <w:color w:val="102840"/>
          <w:sz w:val="26"/>
          <w:szCs w:val="26"/>
        </w:rPr>
        <w:t xml:space="preserve">Whistleblowing &amp; Speak-Up</w:t>
      </w:r>
    </w:p>
    <w:p>
      <w:pPr>
        <w:pStyle w:val="PolicyBody"/>
        <w:numPr>
          <w:ilvl w:val="0"/>
          <w:numId w:val="2"/>
        </w:numPr>
        <w:spacing w:after="90" w:line="312"/>
      </w:pPr>
      <w:r>
        <w:rPr>
          <w:rFonts w:ascii="Arial" w:cs="Arial" w:eastAsia="Arial" w:hAnsi="Arial"/>
          <w:color w:val="1C2732"/>
          <w:sz w:val="21"/>
          <w:szCs w:val="21"/>
        </w:rPr>
        <w:t xml:space="preserve">Assign accountable ownership and approved procedures for whistleblowing &amp; speak-up.</w:t>
      </w:r>
    </w:p>
    <w:p>
      <w:pPr>
        <w:pStyle w:val="PolicyBody"/>
        <w:numPr>
          <w:ilvl w:val="0"/>
          <w:numId w:val="2"/>
        </w:numPr>
        <w:spacing w:after="90" w:line="312"/>
      </w:pPr>
      <w:r>
        <w:rPr>
          <w:rFonts w:ascii="Arial" w:cs="Arial" w:eastAsia="Arial" w:hAnsi="Arial"/>
          <w:color w:val="1C2732"/>
          <w:sz w:val="21"/>
          <w:szCs w:val="21"/>
        </w:rPr>
        <w:t xml:space="preserve">Identify material risks and improvement opportunities related to whistleblowing &amp; speak-up.</w:t>
      </w:r>
    </w:p>
    <w:p>
      <w:pPr>
        <w:pStyle w:val="PolicyBody"/>
        <w:numPr>
          <w:ilvl w:val="0"/>
          <w:numId w:val="2"/>
        </w:numPr>
        <w:spacing w:after="90" w:line="312"/>
      </w:pPr>
      <w:r>
        <w:rPr>
          <w:rFonts w:ascii="Arial" w:cs="Arial" w:eastAsia="Arial" w:hAnsi="Arial"/>
          <w:color w:val="1C2732"/>
          <w:sz w:val="21"/>
          <w:szCs w:val="21"/>
        </w:rPr>
        <w:t xml:space="preserve">Define measures, evidence sources and review frequency for whistleblowing &amp; speak-up.</w:t>
      </w:r>
    </w:p>
    <w:p>
      <w:pPr>
        <w:spacing w:before="70"/>
      </w:pPr>
      <w:r>
        <w:rPr>
          <w:sz w:val="2"/>
          <w:szCs w:val="2"/>
        </w:rPr>
        <w:t xml:space="preserve"> </w:t>
      </w:r>
    </w:p>
    <w:p>
      <w:pPr>
        <w:spacing w:before="115"/>
      </w:pPr>
      <w:r>
        <w:rPr>
          <w:sz w:val="2"/>
          <w:szCs w:val="2"/>
        </w:rPr>
        <w:t xml:space="preserve"> </w:t>
      </w:r>
    </w:p>
    <w:p>
      <w:pPr>
        <w:pStyle w:val="PolicyHeading"/>
        <w:pBdr>
          <w:bottom w:val="single" w:color="183A5A" w:sz="4" w:space="1"/>
        </w:pBdr>
        <w:spacing w:after="180" w:before="260"/>
        <w:jc w:val="left"/>
      </w:pPr>
      <w:bookmarkStart w:name="standard-quantitative" w:id="1"/>
      <w:bookmarkEnd w:id="1"/>
      <w:r>
        <w:rPr>
          <w:rFonts w:ascii="Arial" w:cs="Arial" w:eastAsia="Arial" w:hAnsi="Arial"/>
          <w:color w:val="657585"/>
          <w:sz w:val="20"/>
          <w:szCs w:val="20"/>
        </w:rPr>
        <w:t xml:space="preserve">06   </w:t>
      </w:r>
      <w:r>
        <w:rPr>
          <w:rFonts w:ascii="Arial" w:cs="Arial" w:eastAsia="Arial" w:hAnsi="Arial"/>
          <w:b/>
          <w:bCs/>
          <w:color w:val="102840"/>
          <w:sz w:val="32"/>
          <w:szCs w:val="32"/>
        </w:rPr>
        <w:t xml:space="preserve">Quantitative Targets</w:t>
      </w:r>
    </w:p>
    <w:p>
      <w:pPr>
        <w:spacing w:after="120"/>
      </w:pPr>
      <w:r>
        <w:rPr>
          <w:rFonts w:ascii="Arial" w:cs="Arial" w:eastAsia="Arial" w:hAnsi="Arial"/>
          <w:i/>
          <w:iCs/>
          <w:color w:val="657585"/>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w:t>
            </w:r>
          </w:p>
        </w:tc>
        <w:tc>
          <w:tcPr>
            <w:tcW w:type="dxa" w:w="171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Focus Area</w:t>
            </w:r>
          </w:p>
        </w:tc>
        <w:tc>
          <w:tcPr>
            <w:tcW w:type="dxa" w:w="3135"/>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Target</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Baseline</w:t>
            </w:r>
          </w:p>
        </w:tc>
        <w:tc>
          <w:tcPr>
            <w:tcW w:type="dxa" w:w="1187"/>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Deadline</w:t>
            </w:r>
          </w:p>
        </w:tc>
        <w:tc>
          <w:tcPr>
            <w:tcW w:type="dxa" w:w="1766"/>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Reporting</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Anti-Corruption &amp; Anti-Bribery</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anti-corruption &amp; anti-bribery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Conflicts of Interest</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conflicts of interest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Data Privacy &amp; Confidentiality</w:t>
            </w:r>
          </w:p>
        </w:tc>
        <w:tc>
          <w:tcPr>
            <w:tcW w:type="dxa" w:w="3135"/>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Achieve the approved data privacy &amp; confidentiality target</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sdg" w:id="1"/>
      <w:bookmarkEnd w:id="1"/>
      <w:r>
        <w:rPr>
          <w:rFonts w:ascii="Arial" w:cs="Arial" w:eastAsia="Arial" w:hAnsi="Arial"/>
          <w:color w:val="657585"/>
          <w:sz w:val="20"/>
          <w:szCs w:val="20"/>
        </w:rPr>
        <w:t xml:space="preserve">07   </w:t>
      </w:r>
      <w:r>
        <w:rPr>
          <w:rFonts w:ascii="Arial" w:cs="Arial" w:eastAsia="Arial" w:hAnsi="Arial"/>
          <w:b/>
          <w:bCs/>
          <w:color w:val="102840"/>
          <w:sz w:val="32"/>
          <w:szCs w:val="32"/>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responsibilities" w:id="1"/>
      <w:bookmarkEnd w:id="1"/>
      <w:r>
        <w:rPr>
          <w:rFonts w:ascii="Arial" w:cs="Arial" w:eastAsia="Arial" w:hAnsi="Arial"/>
          <w:color w:val="657585"/>
          <w:sz w:val="20"/>
          <w:szCs w:val="20"/>
        </w:rPr>
        <w:t xml:space="preserve">08   </w:t>
      </w:r>
      <w:r>
        <w:rPr>
          <w:rFonts w:ascii="Arial" w:cs="Arial" w:eastAsia="Arial" w:hAnsi="Arial"/>
          <w:b/>
          <w:bCs/>
          <w:color w:val="102840"/>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Role / Department</w:t>
            </w:r>
          </w:p>
        </w:tc>
        <w:tc>
          <w:tcPr>
            <w:tcW w:type="dxa" w:w="6562"/>
            <w:tcBorders>
              <w:top w:val="single" w:color="D1DCE8" w:sz="5" w:space="1"/>
              <w:left w:val="single" w:color="D1DCE8" w:sz="5" w:space="1"/>
              <w:bottom w:val="single" w:color="D1DCE8" w:sz="5" w:space="1"/>
              <w:right w:val="single" w:color="D1DCE8" w:sz="5" w:space="1"/>
            </w:tcBorders>
            <w:shd w:fill="EAF1F8" w:color="EAF1F8" w:val="solid"/>
            <w:tcMar>
              <w:top w:type="dxa" w:w="120"/>
              <w:left w:type="dxa" w:w="120"/>
              <w:bottom w:type="dxa" w:w="120"/>
              <w:right w:type="dxa" w:w="120"/>
            </w:tcMar>
            <w:vAlign w:val="center"/>
          </w:tcPr>
          <w:p>
            <w:r>
              <w:rPr>
                <w:b/>
                <w:bCs/>
                <w:color w:val="102840"/>
                <w:sz w:val="17"/>
                <w:szCs w:val="17"/>
              </w:rPr>
              <w:t xml:space="preserve">Responsibility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D1DCE8" w:sz="5" w:space="1"/>
              <w:left w:val="single" w:color="D1DCE8" w:sz="5" w:space="1"/>
              <w:bottom w:val="single" w:color="D1DCE8" w:sz="5" w:space="1"/>
              <w:right w:val="single" w:color="D1DCE8"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15"/>
      </w:pPr>
      <w:r>
        <w:rPr>
          <w:sz w:val="2"/>
          <w:szCs w:val="2"/>
        </w:rPr>
        <w:t xml:space="preserve"> </w:t>
      </w:r>
    </w:p>
    <w:p>
      <w:pPr>
        <w:pStyle w:val="PolicyHeading"/>
        <w:pBdr>
          <w:bottom w:val="single" w:color="183A5A" w:sz="4" w:space="1"/>
        </w:pBdr>
        <w:spacing w:after="180" w:before="260"/>
        <w:jc w:val="left"/>
      </w:pPr>
      <w:bookmarkStart w:name="standard-monitoring" w:id="1"/>
      <w:bookmarkEnd w:id="1"/>
      <w:r>
        <w:rPr>
          <w:rFonts w:ascii="Arial" w:cs="Arial" w:eastAsia="Arial" w:hAnsi="Arial"/>
          <w:color w:val="657585"/>
          <w:sz w:val="20"/>
          <w:szCs w:val="20"/>
        </w:rPr>
        <w:t xml:space="preserve">09   </w:t>
      </w:r>
      <w:r>
        <w:rPr>
          <w:rFonts w:ascii="Arial" w:cs="Arial" w:eastAsia="Arial" w:hAnsi="Arial"/>
          <w:b/>
          <w:bCs/>
          <w:color w:val="102840"/>
          <w:sz w:val="32"/>
          <w:szCs w:val="32"/>
        </w:rPr>
        <w:t xml:space="preserve">Monitoring, Reporting &amp; Transparency</w:t>
      </w:r>
    </w:p>
    <w:p>
      <w:pPr>
        <w:pStyle w:val="PolicyBody"/>
        <w:spacing w:after="150" w:line="312"/>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183A5A" w:sz="4" w:space="1"/>
        </w:pBdr>
        <w:spacing w:after="180" w:before="260"/>
        <w:jc w:val="left"/>
      </w:pPr>
      <w:bookmarkStart w:name="standard-review" w:id="1"/>
      <w:bookmarkEnd w:id="1"/>
      <w:r>
        <w:rPr>
          <w:rFonts w:ascii="Arial" w:cs="Arial" w:eastAsia="Arial" w:hAnsi="Arial"/>
          <w:color w:val="657585"/>
          <w:sz w:val="20"/>
          <w:szCs w:val="20"/>
        </w:rPr>
        <w:t xml:space="preserve">10   </w:t>
      </w:r>
      <w:r>
        <w:rPr>
          <w:rFonts w:ascii="Arial" w:cs="Arial" w:eastAsia="Arial" w:hAnsi="Arial"/>
          <w:b/>
          <w:bCs/>
          <w:color w:val="102840"/>
          <w:sz w:val="32"/>
          <w:szCs w:val="32"/>
        </w:rPr>
        <w:t xml:space="preserve">Review Mechanism &amp; Continuous Improvement</w:t>
      </w:r>
    </w:p>
    <w:p>
      <w:pPr>
        <w:pStyle w:val="PolicyBody"/>
        <w:spacing w:after="150" w:line="312"/>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02840"/>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02840"/>
          <w:sz w:val="36"/>
          <w:szCs w:val="36"/>
        </w:rPr>
        <w:t xml:space="preserve">Employee Acknowledgement Form</w:t>
      </w:r>
    </w:p>
    <w:p>
      <w:pPr>
        <w:spacing w:after="260" w:line="312"/>
        <w:jc w:val="both"/>
      </w:pPr>
      <w:r>
        <w:rPr>
          <w:rFonts w:ascii="Arial" w:cs="Arial" w:eastAsia="Arial" w:hAnsi="Arial"/>
          <w:sz w:val="21"/>
          <w:szCs w:val="21"/>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NAME</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EMPLOYEE ID</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DEPARTMENT</w:t>
            </w:r>
          </w:p>
          <w:p>
            <w:pPr>
              <w:pBdr>
                <w:bottom w:val="single" w:color="657585"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DATE</w:t>
            </w:r>
          </w:p>
          <w:p>
            <w:pPr>
              <w:pBdr>
                <w:bottom w:val="single" w:color="657585"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57585"/>
                <w:spacing w:val="35"/>
                <w:sz w:val="14"/>
                <w:szCs w:val="14"/>
              </w:rPr>
              <w:t xml:space="preserve">SIGNATURE</w:t>
            </w:r>
          </w:p>
          <w:p>
            <w:pPr>
              <w:pBdr>
                <w:bottom w:val="single" w:color="657585"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E8" w:sz="5" w:space="1"/>
      </w:pBdr>
      <w:spacing w:before="80"/>
      <w:jc w:val="left"/>
    </w:pPr>
    <w:r>
      <w:rPr>
        <w:rFonts w:ascii="Arial" w:cs="Arial" w:eastAsia="Arial" w:hAnsi="Arial"/>
        <w:i w:val="false"/>
        <w:iCs w:val="false"/>
        <w:color w:val="657585"/>
        <w:sz w:val="14"/>
        <w:szCs w:val="14"/>
      </w:rPr>
      <w:t xml:space="preserve">Effective 2025-01-15   -   Revision 01   -   Page </w:t>
    </w:r>
    <w:r>
      <w:rPr>
        <w:rFonts w:ascii="Arial" w:cs="Arial" w:eastAsia="Arial" w:hAnsi="Arial"/>
        <w:color w:val="65758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1DCE8" w:sz="5" w:space="1"/>
      </w:pBdr>
      <w:spacing w:after="60"/>
      <w:jc w:val="left"/>
    </w:pPr>
    <w:r>
      <w:rPr>
        <w:rFonts w:ascii="Arial" w:cs="Arial" w:eastAsia="Arial" w:hAnsi="Arial"/>
        <w:b/>
        <w:bCs/>
        <w:color w:val="657585"/>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183A5A"/>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183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02840"/>
      <w:sz w:val="32"/>
      <w:szCs w:val="32"/>
    </w:rPr>
  </w:style>
  <w:style w:type="paragraph" w:styleId="PolicyBody">
    <w:name w:val="Policy Body"/>
    <w:basedOn w:val="Normal"/>
    <w:next w:val="PolicyBody"/>
    <w:qFormat/>
    <w:pPr>
      <w:spacing w:after="123" w:line="312"/>
    </w:pPr>
    <w:rPr>
      <w:rFonts w:ascii="Arial" w:cs="Arial" w:eastAsia="Arial" w:hAnsi="Arial"/>
      <w:color w:val="1C27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b0b79edaea1b118a33856c94b31982b12c073254.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2026-09-08T05:39:33.558Z</dcterms:created>
  <dcterms:modified xsi:type="dcterms:W3CDTF">2026-09-08T05:39:33.558Z</dcterms:modified>
</cp:coreProperties>
</file>

<file path=docProps/custom.xml><?xml version="1.0" encoding="utf-8"?>
<Properties xmlns="http://schemas.openxmlformats.org/officeDocument/2006/custom-properties" xmlns:vt="http://schemas.openxmlformats.org/officeDocument/2006/docPropsVTypes"/>
</file>