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Living Wage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Living Wage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Living Wage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Living-Wage Benchmark &amp; Methodology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Legal Minimum-Wage Compliance</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Benefits, Allowances &amp; Total Remuneration</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Pay Equity &amp; Transparency</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Timely, Traceable Payment</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Living-Wage Benchmark &amp; Methodology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living-wage benchmark &amp; methodology.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living-wage benchmark &amp; methodology.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living-wage benchmark &amp; methodology.</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Legal Minimum-Wage Compliance</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legal minimum-wage compliance.</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legal minimum-wage compliance.</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legal minimum-wage compliance.</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Benefits, Allowances &amp; Total Remuneration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benefits, allowances &amp; total remuneration.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benefits, allowances &amp; total remuneration.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Pay Equity &amp; Transparency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pay equity &amp; transparency.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pay equity &amp; transparency.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pay equity &amp; transparency.</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Timely, Traceable Payment</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timely, traceable payment.</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timely, traceable payment.</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timely, traceable payment.</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71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313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76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Arial" w:cs="Arial" w:eastAsia="Arial" w:hAnsi="Arial"/>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2026-09-08T05:39:34.423Z</dcterms:created>
  <dcterms:modified xsi:type="dcterms:W3CDTF">2026-09-08T05:39:34.423Z</dcterms:modified>
</cp:coreProperties>
</file>

<file path=docProps/custom.xml><?xml version="1.0" encoding="utf-8"?>
<Properties xmlns="http://schemas.openxmlformats.org/officeDocument/2006/custom-properties" xmlns:vt="http://schemas.openxmlformats.org/officeDocument/2006/docPropsVTypes"/>
</file>