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International Sustainable Procurement and Responsible Operations Group Limited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Sustainable Procurement Policy</w:t>
      </w:r>
    </w:p>
    <w:p>
      <w:pPr>
        <w:spacing w:before="900"/>
      </w:pPr>
      <w:r>
        <w:rPr>
          <w:sz w:val="2"/>
          <w:szCs w:val="2"/>
        </w:rPr>
        <w:t xml:space="preserve"> </w:t>
      </w:r>
    </w:p>
    <w:p>
      <w:pPr>
        <w:pBdr>
          <w:top w:val="single" w:color="D5E0D8"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249"/>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249"/>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249"/>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qualitative">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Qualitative Objectives</w:t>
        </w:r>
      </w:hyperlink>
    </w:p>
    <w:p>
      <w:pPr>
        <w:pBdr>
          <w:bottom w:val="dotted" w:color="D5E0D8" w:sz="3" w:space="1"/>
        </w:pBdr>
        <w:spacing w:after="95" w:before="60"/>
      </w:pPr>
      <w:hyperlink w:history="1" w:anchor="standard-quantitative">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Quantitative Targets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09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10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36"/>
        <w:jc w:val="both"/>
      </w:pPr>
      <w:r>
        <w:rPr>
          <w:rFonts w:ascii="Calibri" w:cs="Calibri" w:eastAsia="Calibri" w:hAnsi="Calibri"/>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289"/>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151"/>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058"/>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7798"/>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Supplier Code of Conduct &amp; Onboarding</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7798"/>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Supplier Due Diligence &amp; Risk Assessment</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7798"/>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Environmental Requirements for Suppliers</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7798"/>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Ethical Sourcing &amp; Anti-Corruption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7798"/>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Labour &amp; Human Rights in Supply Chain</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qualitative"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Qualitative Objectives</w:t>
      </w:r>
    </w:p>
    <w:p>
      <w:pPr>
        <w:spacing w:after="90"/>
      </w:pPr>
      <w:r>
        <w:rPr>
          <w:rFonts w:ascii="Calibri" w:cs="Calibri" w:eastAsia="Calibri" w:hAnsi="Calibri"/>
          <w:b/>
          <w:bCs/>
          <w:color w:val="315145"/>
          <w:sz w:val="18"/>
          <w:szCs w:val="18"/>
        </w:rPr>
        <w:t xml:space="preserve">01  </w:t>
      </w:r>
      <w:r>
        <w:rPr>
          <w:rFonts w:ascii="Calibri" w:cs="Calibri" w:eastAsia="Calibri" w:hAnsi="Calibri"/>
          <w:b/>
          <w:bCs/>
          <w:color w:val="20372F"/>
          <w:sz w:val="24"/>
          <w:szCs w:val="24"/>
        </w:rPr>
        <w:t xml:space="preserve">Supplier Code of Conduct &amp; Onboarding</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supplier code of conduct &amp; onboarding.</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supplier code of conduct &amp; onboarding.</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02  </w:t>
      </w:r>
      <w:r>
        <w:rPr>
          <w:rFonts w:ascii="Calibri" w:cs="Calibri" w:eastAsia="Calibri" w:hAnsi="Calibri"/>
          <w:b/>
          <w:bCs/>
          <w:color w:val="20372F"/>
          <w:sz w:val="24"/>
          <w:szCs w:val="24"/>
        </w:rPr>
        <w:t xml:space="preserve">Supplier Due Diligence &amp; Risk Assessment</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supplier due diligence &amp; risk assessment.</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supplier due diligence &amp; risk assessment.</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03  </w:t>
      </w:r>
      <w:r>
        <w:rPr>
          <w:rFonts w:ascii="Calibri" w:cs="Calibri" w:eastAsia="Calibri" w:hAnsi="Calibri"/>
          <w:b/>
          <w:bCs/>
          <w:color w:val="20372F"/>
          <w:sz w:val="24"/>
          <w:szCs w:val="24"/>
        </w:rPr>
        <w:t xml:space="preserve">Environmental Requirements for Suppliers</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environmental requirements for suppliers.</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environmental requirements for suppliers.</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04  </w:t>
      </w:r>
      <w:r>
        <w:rPr>
          <w:rFonts w:ascii="Calibri" w:cs="Calibri" w:eastAsia="Calibri" w:hAnsi="Calibri"/>
          <w:b/>
          <w:bCs/>
          <w:color w:val="20372F"/>
          <w:sz w:val="24"/>
          <w:szCs w:val="24"/>
        </w:rPr>
        <w:t xml:space="preserve">Ethical Sourcing &amp; Anti-Corruption</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ethical sourcing &amp; anti-corruption.</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ethical sourcing &amp; anti-corruption.</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05  </w:t>
      </w:r>
      <w:r>
        <w:rPr>
          <w:rFonts w:ascii="Calibri" w:cs="Calibri" w:eastAsia="Calibri" w:hAnsi="Calibri"/>
          <w:b/>
          <w:bCs/>
          <w:color w:val="20372F"/>
          <w:sz w:val="24"/>
          <w:szCs w:val="24"/>
        </w:rPr>
        <w:t xml:space="preserve">Labour &amp; Human Rights in Supply Chain</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labour &amp; human rights in supply chain.</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labour &amp; human rights in supply chain.</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315145" w:sz="4" w:space="1"/>
        </w:pBdr>
        <w:spacing w:after="180" w:before="260"/>
        <w:jc w:val="center"/>
      </w:pPr>
      <w:bookmarkStart w:name="standard-quantitative"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Quantitative Targets</w:t>
      </w:r>
    </w:p>
    <w:p>
      <w:pPr>
        <w:spacing w:after="120"/>
      </w:pPr>
      <w:r>
        <w:rPr>
          <w:rFonts w:ascii="Calibri" w:cs="Calibri" w:eastAsia="Calibri" w:hAnsi="Calibri"/>
          <w:i/>
          <w:iCs/>
          <w:color w:val="6C776F"/>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86"/>
        <w:gridCol w:w="1544"/>
        <w:gridCol w:w="2830"/>
        <w:gridCol w:w="1072"/>
        <w:gridCol w:w="1072"/>
        <w:gridCol w:w="1594"/>
      </w:tblGrid>
      <w:tr>
        <w:trPr>
          <w:cantSplit/>
          <w:tblHeader/>
        </w:trPr>
        <w:tc>
          <w:tcPr>
            <w:tcW w:type="dxa" w:w="386"/>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w:t>
            </w:r>
          </w:p>
        </w:tc>
        <w:tc>
          <w:tcPr>
            <w:tcW w:type="dxa" w:w="1544"/>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Focus Area</w:t>
            </w:r>
          </w:p>
        </w:tc>
        <w:tc>
          <w:tcPr>
            <w:tcW w:type="dxa" w:w="283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Target</w:t>
            </w:r>
          </w:p>
        </w:tc>
        <w:tc>
          <w:tcPr>
            <w:tcW w:type="dxa" w:w="107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Baseline</w:t>
            </w:r>
          </w:p>
        </w:tc>
        <w:tc>
          <w:tcPr>
            <w:tcW w:type="dxa" w:w="107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Deadline</w:t>
            </w:r>
          </w:p>
        </w:tc>
        <w:tc>
          <w:tcPr>
            <w:tcW w:type="dxa" w:w="1594"/>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4</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4.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5</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5.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6</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6.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7</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7.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8</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8.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9</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9.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10</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10. Achieve the approved supplier code of conduct &amp; onboarding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11</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12</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13</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14</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4.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15</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5.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16</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6.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17</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7.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18</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8.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19</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9.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20</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10. Achieve the approved supplier due diligence &amp; risk assessment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21</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22</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23</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24</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4.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25</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5.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26</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6.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27</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7.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28</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8.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29</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9.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30</w:t>
            </w:r>
          </w:p>
        </w:tc>
        <w:tc>
          <w:tcPr>
            <w:tcW w:type="dxa" w:w="154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10. Achieve the approved environmental requirements for suppliers target. Maintain documented evidence and review progress with the responsible department each quarter.</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7098"/>
            <w:tcMar>
              <w:top w:type="dxa" w:w="120"/>
              <w:left w:type="dxa" w:w="120"/>
              <w:bottom w:type="dxa" w:w="120"/>
              <w:right w:type="dxa" w:w="120"/>
            </w:tcMar>
            <w:vAlign w:val="center"/>
          </w:tcPr>
          <w:p>
            <w:r>
              <w:rPr>
                <w:rFonts w:ascii="Calibri" w:cs="Calibri" w:eastAsia="Calibri" w:hAnsi="Calibri"/>
                <w:b/>
                <w:bCs/>
                <w:color w:val="A21942"/>
                <w:sz w:val="19"/>
                <w:szCs w:val="19"/>
              </w:rPr>
              <w:t xml:space="preserve">Decent Work</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7098"/>
            <w:tcMar>
              <w:top w:type="dxa" w:w="120"/>
              <w:left w:type="dxa" w:w="120"/>
              <w:bottom w:type="dxa" w:w="120"/>
              <w:right w:type="dxa" w:w="120"/>
            </w:tcMar>
            <w:vAlign w:val="center"/>
          </w:tcPr>
          <w:p>
            <w:r>
              <w:rPr>
                <w:rFonts w:ascii="Calibri" w:cs="Calibri" w:eastAsia="Calibri" w:hAnsi="Calibri"/>
                <w:b/>
                <w:bCs/>
                <w:color w:val="FD6925"/>
                <w:sz w:val="19"/>
                <w:szCs w:val="19"/>
              </w:rPr>
              <w:t xml:space="preserve">Industry &amp; Innovation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7098"/>
            <w:tcMar>
              <w:top w:type="dxa" w:w="120"/>
              <w:left w:type="dxa" w:w="120"/>
              <w:bottom w:type="dxa" w:w="120"/>
              <w:right w:type="dxa" w:w="120"/>
            </w:tcMar>
            <w:vAlign w:val="center"/>
          </w:tcPr>
          <w:p>
            <w:r>
              <w:rPr>
                <w:rFonts w:ascii="Calibri" w:cs="Calibri" w:eastAsia="Calibri" w:hAnsi="Calibri"/>
                <w:b/>
                <w:bCs/>
                <w:color w:val="BF8B2E"/>
                <w:sz w:val="19"/>
                <w:szCs w:val="19"/>
              </w:rPr>
              <w:t xml:space="preserve">Responsible Consumption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7098"/>
            <w:tcMar>
              <w:top w:type="dxa" w:w="120"/>
              <w:left w:type="dxa" w:w="120"/>
              <w:bottom w:type="dxa" w:w="120"/>
              <w:right w:type="dxa" w:w="120"/>
            </w:tcMar>
            <w:vAlign w:val="center"/>
          </w:tcPr>
          <w:p>
            <w:r>
              <w:rPr>
                <w:rFonts w:ascii="Calibri" w:cs="Calibri" w:eastAsia="Calibri" w:hAnsi="Calibri"/>
                <w:b/>
                <w:bCs/>
                <w:color w:val="00689D"/>
                <w:sz w:val="19"/>
                <w:szCs w:val="19"/>
              </w:rPr>
              <w:t xml:space="preserve">Peace &amp; Justice</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7098"/>
            <w:tcMar>
              <w:top w:type="dxa" w:w="120"/>
              <w:left w:type="dxa" w:w="120"/>
              <w:bottom w:type="dxa" w:w="120"/>
              <w:right w:type="dxa" w:w="120"/>
            </w:tcMar>
            <w:vAlign w:val="center"/>
          </w:tcPr>
          <w:p>
            <w:r>
              <w:rPr>
                <w:rFonts w:ascii="Calibri" w:cs="Calibri" w:eastAsia="Calibri" w:hAnsi="Calibri"/>
                <w:b/>
                <w:bCs/>
                <w:color w:val="19486A"/>
                <w:sz w:val="19"/>
                <w:szCs w:val="19"/>
              </w:rPr>
              <w:t xml:space="preserve">Partnerships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573"/>
        <w:gridCol w:w="5925"/>
      </w:tblGrid>
      <w:tr>
        <w:trPr>
          <w:cantSplit/>
          <w:tblHeader/>
        </w:trPr>
        <w:tc>
          <w:tcPr>
            <w:tcW w:type="dxa" w:w="2573"/>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5925"/>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573"/>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Procurement Team</w:t>
            </w:r>
          </w:p>
        </w:tc>
        <w:tc>
          <w:tcPr>
            <w:tcW w:type="dxa" w:w="592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573"/>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Sustainability Team</w:t>
            </w:r>
          </w:p>
        </w:tc>
        <w:tc>
          <w:tcPr>
            <w:tcW w:type="dxa" w:w="592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573"/>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Suppliers</w:t>
            </w:r>
          </w:p>
        </w:tc>
        <w:tc>
          <w:tcPr>
            <w:tcW w:type="dxa" w:w="592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573"/>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Senior Management</w:t>
            </w:r>
          </w:p>
        </w:tc>
        <w:tc>
          <w:tcPr>
            <w:tcW w:type="dxa" w:w="592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573"/>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All Employees</w:t>
            </w:r>
          </w:p>
        </w:tc>
        <w:tc>
          <w:tcPr>
            <w:tcW w:type="dxa" w:w="592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09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10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315145" w:sz="48" w:space="29"/>
        <w:left w:val="single" w:color="315145" w:sz="48" w:space="29"/>
        <w:bottom w:val="single" w:color="315145" w:sz="48" w:space="29"/>
        <w:right w:val="single" w:color="315145"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2026-09-08T05:37:07.192Z</dcterms:created>
  <dcterms:modified xsi:type="dcterms:W3CDTF">2026-09-08T05:37:07.192Z</dcterms:modified>
</cp:coreProperties>
</file>

<file path=docProps/custom.xml><?xml version="1.0" encoding="utf-8"?>
<Properties xmlns="http://schemas.openxmlformats.org/officeDocument/2006/custom-properties" xmlns:vt="http://schemas.openxmlformats.org/officeDocument/2006/docPropsVTypes"/>
</file>