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Acme Specialty Chemicals Pvt. Ltd.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Living Wage Policy</w:t>
      </w:r>
    </w:p>
    <w:p>
      <w:pPr>
        <w:spacing w:before="900"/>
      </w:pPr>
      <w:r>
        <w:rPr>
          <w:sz w:val="2"/>
          <w:szCs w:val="2"/>
        </w:rPr>
        <w:t xml:space="preserve"> </w:t>
      </w:r>
    </w:p>
    <w:p>
      <w:pPr>
        <w:pBdr>
          <w:top w:val="single" w:color="D5E0D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qualitative">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Qualitative Objectives</w:t>
        </w:r>
      </w:hyperlink>
    </w:p>
    <w:p>
      <w:pPr>
        <w:pBdr>
          <w:bottom w:val="dotted" w:color="D5E0D8" w:sz="3" w:space="1"/>
        </w:pBdr>
        <w:spacing w:after="95" w:before="60"/>
      </w:pPr>
      <w:hyperlink w:history="1" w:anchor="standard-quantitative">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Quantitative Targets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09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10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Living Wage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commitment to implementing this Living Wage Policy in line with applicable requirements, proportionate controls, and regular management review.</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Living-Wage Benchmark &amp; Methodology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Legal Minimum-Wage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Benefits, Allowances &amp; Total Remuneration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Pay Equity &amp; Transparency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Timely, Traceable Payment</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qualitative"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Qualitative Objectives</w:t>
      </w:r>
    </w:p>
    <w:p>
      <w:pPr>
        <w:spacing w:after="90"/>
      </w:pPr>
      <w:r>
        <w:rPr>
          <w:rFonts w:ascii="Calibri" w:cs="Calibri" w:eastAsia="Calibri" w:hAnsi="Calibri"/>
          <w:b/>
          <w:bCs/>
          <w:color w:val="315145"/>
          <w:sz w:val="18"/>
          <w:szCs w:val="18"/>
        </w:rPr>
        <w:t xml:space="preserve">01  </w:t>
      </w:r>
      <w:r>
        <w:rPr>
          <w:rFonts w:ascii="Calibri" w:cs="Calibri" w:eastAsia="Calibri" w:hAnsi="Calibri"/>
          <w:b/>
          <w:bCs/>
          <w:color w:val="20372F"/>
          <w:sz w:val="24"/>
          <w:szCs w:val="24"/>
        </w:rPr>
        <w:t xml:space="preserve">Living-Wage Benchmark &amp; Methodology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living-wage benchmark &amp; methodology.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living-wage benchmark &amp; methodology.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living-wage benchmark &amp; methodology.</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02  </w:t>
      </w:r>
      <w:r>
        <w:rPr>
          <w:rFonts w:ascii="Calibri" w:cs="Calibri" w:eastAsia="Calibri" w:hAnsi="Calibri"/>
          <w:b/>
          <w:bCs/>
          <w:color w:val="20372F"/>
          <w:sz w:val="24"/>
          <w:szCs w:val="24"/>
        </w:rPr>
        <w:t xml:space="preserve">Legal Minimum-Wage Compliance</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legal minimum-wage compliance.</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legal minimum-wage compliance.</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legal minimum-wage compliance.</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03  </w:t>
      </w:r>
      <w:r>
        <w:rPr>
          <w:rFonts w:ascii="Calibri" w:cs="Calibri" w:eastAsia="Calibri" w:hAnsi="Calibri"/>
          <w:b/>
          <w:bCs/>
          <w:color w:val="20372F"/>
          <w:sz w:val="24"/>
          <w:szCs w:val="24"/>
        </w:rPr>
        <w:t xml:space="preserve">Benefits, Allowances &amp; Total Remuneration</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benefits, allowances &amp; total remuneration.</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benefits, allowances &amp; total remuneration.</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04  </w:t>
      </w:r>
      <w:r>
        <w:rPr>
          <w:rFonts w:ascii="Calibri" w:cs="Calibri" w:eastAsia="Calibri" w:hAnsi="Calibri"/>
          <w:b/>
          <w:bCs/>
          <w:color w:val="20372F"/>
          <w:sz w:val="24"/>
          <w:szCs w:val="24"/>
        </w:rPr>
        <w:t xml:space="preserve">Pay Equity &amp; Transparency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pay equity &amp; transparency.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pay equity &amp; transparency.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pay equity &amp; transparency.</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05  </w:t>
      </w:r>
      <w:r>
        <w:rPr>
          <w:rFonts w:ascii="Calibri" w:cs="Calibri" w:eastAsia="Calibri" w:hAnsi="Calibri"/>
          <w:b/>
          <w:bCs/>
          <w:color w:val="20372F"/>
          <w:sz w:val="24"/>
          <w:szCs w:val="24"/>
        </w:rPr>
        <w:t xml:space="preserve">Timely, Traceable Payment</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timely, traceable payment.</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timely, traceable payment.</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timely, traceable payment.</w:t>
      </w:r>
    </w:p>
    <w:p>
      <w:pPr>
        <w:spacing w:before="70"/>
      </w:pPr>
      <w:r>
        <w:rPr>
          <w:sz w:val="2"/>
          <w:szCs w:val="2"/>
        </w:rPr>
        <w:t xml:space="preserve"> </w:t>
      </w:r>
    </w:p>
    <w:p>
      <w:pPr>
        <w:spacing w:before="140"/>
      </w:pPr>
      <w:r>
        <w:rPr>
          <w:sz w:val="2"/>
          <w:szCs w:val="2"/>
        </w:rPr>
        <w:t xml:space="preserve"> </w:t>
      </w:r>
    </w:p>
    <w:p>
      <w:pPr>
        <w:pStyle w:val="PolicyHeading"/>
        <w:pBdr>
          <w:bottom w:val="single" w:color="315145" w:sz="4" w:space="1"/>
        </w:pBdr>
        <w:spacing w:after="180" w:before="260"/>
        <w:jc w:val="center"/>
      </w:pPr>
      <w:bookmarkStart w:name="standard-quantitative"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Quantitative Targets</w:t>
      </w:r>
    </w:p>
    <w:p>
      <w:pPr>
        <w:spacing w:after="120"/>
      </w:pPr>
      <w:r>
        <w:rPr>
          <w:rFonts w:ascii="Calibri" w:cs="Calibri" w:eastAsia="Calibri" w:hAnsi="Calibri"/>
          <w:i/>
          <w:iCs/>
          <w:color w:val="6C776F"/>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Living-Wage Benchmark &amp; Methodology</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living-wage benchmark &amp; methodology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Legal Minimum-Wage Compliance</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legal minimum-wage compliance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Benefits, Allowances &amp; Total Remuneration</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benefits, allowances &amp; total remuneration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E5243B" w:color="E5243B" w:val="solid"/>
            <w:tcMar>
              <w:top w:type="dxa" w:w="120"/>
              <w:left w:type="dxa" w:w="120"/>
              <w:bottom w:type="dxa" w:w="120"/>
              <w:right w:type="dxa" w:w="120"/>
            </w:tcMar>
            <w:vAlign w:val="center"/>
          </w:tcPr>
          <w:p>
            <w:pPr>
              <w:jc w:val="center"/>
            </w:pPr>
            <w:r>
              <w:rPr>
                <w:b/>
                <w:bCs/>
                <w:color w:val="FFFFFF"/>
                <w:sz w:val="17"/>
                <w:szCs w:val="17"/>
              </w:rPr>
              <w:t xml:space="preserve">SDG 1</w:t>
            </w:r>
          </w:p>
        </w:tc>
        <w:tc>
          <w:tcPr>
            <w:tcW w:type="dxa" w:w="8012"/>
            <w:tcMar>
              <w:top w:type="dxa" w:w="120"/>
              <w:left w:type="dxa" w:w="120"/>
              <w:bottom w:type="dxa" w:w="120"/>
              <w:right w:type="dxa" w:w="120"/>
            </w:tcMar>
            <w:vAlign w:val="center"/>
          </w:tcPr>
          <w:p>
            <w:r>
              <w:rPr>
                <w:rFonts w:ascii="Calibri" w:cs="Calibri" w:eastAsia="Calibri" w:hAnsi="Calibri"/>
                <w:b/>
                <w:bCs/>
                <w:color w:val="E5243B"/>
                <w:sz w:val="19"/>
                <w:szCs w:val="19"/>
              </w:rPr>
              <w:t xml:space="preserve">No Poverty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Calibri" w:cs="Calibri" w:eastAsia="Calibri" w:hAnsi="Calibri"/>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Calibri" w:cs="Calibri" w:eastAsia="Calibri" w:hAnsi="Calibri"/>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Calibri" w:cs="Calibri" w:eastAsia="Calibri" w:hAnsi="Calibri"/>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Calibri" w:cs="Calibri" w:eastAsia="Calibri" w:hAnsi="Calibri"/>
                <w:b/>
                <w:bCs/>
                <w:color w:val="DD1367"/>
                <w:sz w:val="19"/>
                <w:szCs w:val="19"/>
              </w:rPr>
              <w:t xml:space="preserve">Reduced Inequalities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Approve the living-wage commitment and review progress against wage and benefit objectives.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Maintain wage benchmarks, implement equitable compensation, and administer wage-related grievance handling.</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Finance &amp; Payroll</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Ensure accurate, timely, traceable payment and maintain records for compensation and statutory benefits.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Line Managers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Communicate compensation practices clearly and escalate concerns affecting employee welfare.</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Employees &amp; Workers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Use available channels to raise wage or benefit concerns without fear of retaliation.</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09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10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2026-09-08T05:39:42.368Z</dcterms:created>
  <dcterms:modified xsi:type="dcterms:W3CDTF">2026-09-08T05:39:42.368Z</dcterms:modified>
</cp:coreProperties>
</file>

<file path=docProps/custom.xml><?xml version="1.0" encoding="utf-8"?>
<Properties xmlns="http://schemas.openxmlformats.org/officeDocument/2006/custom-properties" xmlns:vt="http://schemas.openxmlformats.org/officeDocument/2006/docPropsVTypes"/>
</file>