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Times New Roman" w:cs="Times New Roman" w:eastAsia="Times New Roman" w:hAnsi="Times New Roman"/>
          <w:color w:val="65757B"/>
          <w:sz w:val="25"/>
          <w:szCs w:val="25"/>
        </w:rPr>
        <w:t xml:space="preserve">Acme Specialty Chemicals Pvt. Ltd.</w:t>
      </w:r>
    </w:p>
    <w:p>
      <w:pPr>
        <w:spacing w:before="2041"/>
      </w:pPr>
      <w:r>
        <w:rPr>
          <w:sz w:val="2"/>
          <w:szCs w:val="2"/>
        </w:rPr>
        <w:t xml:space="preserve"> </w:t>
      </w:r>
    </w:p>
    <w:p>
      <w:pPr>
        <w:pBdr>
          <w:bottom w:val="single" w:color="244B59" w:sz="6" w:space="1"/>
        </w:pBdr>
        <w:spacing w:after="360"/>
      </w:pPr>
    </w:p>
    <w:p>
      <w:pPr>
        <w:spacing w:after="140"/>
        <w:jc w:val="left"/>
      </w:pPr>
      <w:r>
        <w:rPr>
          <w:rFonts w:ascii="Times New Roman" w:cs="Times New Roman" w:eastAsia="Times New Roman" w:hAnsi="Times New Roman"/>
          <w:b/>
          <w:bCs/>
          <w:color w:val="17343E"/>
          <w:sz w:val="60"/>
          <w:szCs w:val="60"/>
        </w:rPr>
        <w:t xml:space="preserve">Environmental Policy</w:t>
      </w:r>
    </w:p>
    <w:p>
      <w:pPr>
        <w:spacing w:before="900"/>
      </w:pPr>
      <w:r>
        <w:rPr>
          <w:sz w:val="2"/>
          <w:szCs w:val="2"/>
        </w:rPr>
        <w:t xml:space="preserve"> </w:t>
      </w:r>
    </w:p>
    <w:p>
      <w:pPr>
        <w:pBdr>
          <w:top w:val="single" w:color="CFDDE1"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412"/>
      </w:tblGrid>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DOCUMENT NO.</w:t>
            </w:r>
          </w:p>
          <w:p>
            <w:pPr>
              <w:spacing w:after="180"/>
            </w:pPr>
            <w:r>
              <w:rPr>
                <w:rFonts w:ascii="Times New Roman" w:cs="Times New Roman" w:eastAsia="Times New Roman" w:hAnsi="Times New Roman"/>
                <w:color w:val="65757B"/>
                <w:sz w:val="20"/>
                <w:szCs w:val="20"/>
              </w:rPr>
              <w:t xml:space="preserve">ASC-ENV-001</w:t>
            </w:r>
          </w:p>
        </w:tc>
      </w:tr>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EFFECTIVE DATE</w:t>
            </w:r>
          </w:p>
          <w:p>
            <w:pPr>
              <w:spacing w:after="180"/>
            </w:pPr>
            <w:r>
              <w:rPr>
                <w:rFonts w:ascii="Times New Roman" w:cs="Times New Roman" w:eastAsia="Times New Roman" w:hAnsi="Times New Roman"/>
                <w:color w:val="65757B"/>
                <w:sz w:val="20"/>
                <w:szCs w:val="20"/>
              </w:rPr>
              <w:t xml:space="preserve">2025-01-15</w:t>
            </w:r>
          </w:p>
        </w:tc>
      </w:tr>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REVISION</w:t>
            </w:r>
          </w:p>
          <w:p>
            <w:pPr>
              <w:spacing w:after="180"/>
            </w:pPr>
            <w:r>
              <w:rPr>
                <w:rFonts w:ascii="Times New Roman" w:cs="Times New Roman" w:eastAsia="Times New Roman" w:hAnsi="Times New Roman"/>
                <w:color w:val="65757B"/>
                <w:sz w:val="20"/>
                <w:szCs w:val="20"/>
              </w:rPr>
              <w:t xml:space="preserve">01</w:t>
            </w:r>
          </w:p>
        </w:tc>
      </w:tr>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NEXT REVIEW</w:t>
            </w:r>
          </w:p>
          <w:p>
            <w:pPr>
              <w:spacing w:after="180"/>
            </w:pPr>
            <w:r>
              <w:rPr>
                <w:rFonts w:ascii="Times New Roman" w:cs="Times New Roman" w:eastAsia="Times New Roman" w:hAnsi="Times New Roman"/>
                <w:color w:val="65757B"/>
                <w:sz w:val="20"/>
                <w:szCs w:val="20"/>
              </w:rPr>
              <w:t xml:space="preserve">2027-01-14</w:t>
            </w:r>
          </w:p>
        </w:tc>
      </w:tr>
    </w:tbl>
    <w:p>
      <w:r>
        <w:br w:type="page"/>
      </w:r>
    </w:p>
    <w:p>
      <w:pPr>
        <w:pStyle w:val="PolicyHeading"/>
        <w:spacing w:after="360"/>
        <w:jc w:val="left"/>
      </w:pPr>
      <w:r>
        <w:t xml:space="preserve">Contents</w:t>
      </w:r>
    </w:p>
    <w:p>
      <w:pPr>
        <w:pBdr>
          <w:bottom w:val="dotted" w:color="CFDDE1" w:sz="3" w:space="1"/>
        </w:pBdr>
        <w:spacing w:after="95" w:before="60"/>
      </w:pPr>
      <w:hyperlink w:history="1" w:anchor="standard-preface">
        <w:r>
          <w:rPr>
            <w:rFonts w:ascii="Times New Roman" w:cs="Times New Roman" w:eastAsia="Times New Roman" w:hAnsi="Times New Roman"/>
            <w:b/>
            <w:bCs/>
            <w:color w:val="244B59"/>
            <w:sz w:val="20"/>
            <w:szCs w:val="20"/>
          </w:rPr>
          <w:t xml:space="preserve">01   </w:t>
        </w:r>
        <w:r>
          <w:rPr>
            <w:rFonts w:ascii="Times New Roman" w:cs="Times New Roman" w:eastAsia="Times New Roman" w:hAnsi="Times New Roman"/>
            <w:color w:val="17343E"/>
            <w:sz w:val="20"/>
            <w:szCs w:val="20"/>
          </w:rPr>
          <w:t xml:space="preserve">Preface</w:t>
        </w:r>
      </w:hyperlink>
    </w:p>
    <w:p>
      <w:pPr>
        <w:pBdr>
          <w:bottom w:val="dotted" w:color="CFDDE1" w:sz="3" w:space="1"/>
        </w:pBdr>
        <w:spacing w:after="95" w:before="60"/>
      </w:pPr>
      <w:hyperlink w:history="1" w:anchor="standard-declaration">
        <w:r>
          <w:rPr>
            <w:rFonts w:ascii="Times New Roman" w:cs="Times New Roman" w:eastAsia="Times New Roman" w:hAnsi="Times New Roman"/>
            <w:b/>
            <w:bCs/>
            <w:color w:val="244B59"/>
            <w:sz w:val="20"/>
            <w:szCs w:val="20"/>
          </w:rPr>
          <w:t xml:space="preserve">02   </w:t>
        </w:r>
        <w:r>
          <w:rPr>
            <w:rFonts w:ascii="Times New Roman" w:cs="Times New Roman" w:eastAsia="Times New Roman" w:hAnsi="Times New Roman"/>
            <w:color w:val="17343E"/>
            <w:sz w:val="20"/>
            <w:szCs w:val="20"/>
          </w:rPr>
          <w:t xml:space="preserve">Policy Declaration</w:t>
        </w:r>
      </w:hyperlink>
    </w:p>
    <w:p>
      <w:pPr>
        <w:pBdr>
          <w:bottom w:val="dotted" w:color="CFDDE1" w:sz="3" w:space="1"/>
        </w:pBdr>
        <w:spacing w:after="95" w:before="60"/>
      </w:pPr>
      <w:hyperlink w:history="1" w:anchor="standard-scope">
        <w:r>
          <w:rPr>
            <w:rFonts w:ascii="Times New Roman" w:cs="Times New Roman" w:eastAsia="Times New Roman" w:hAnsi="Times New Roman"/>
            <w:b/>
            <w:bCs/>
            <w:color w:val="244B59"/>
            <w:sz w:val="20"/>
            <w:szCs w:val="20"/>
          </w:rPr>
          <w:t xml:space="preserve">03   </w:t>
        </w:r>
        <w:r>
          <w:rPr>
            <w:rFonts w:ascii="Times New Roman" w:cs="Times New Roman" w:eastAsia="Times New Roman" w:hAnsi="Times New Roman"/>
            <w:color w:val="17343E"/>
            <w:sz w:val="20"/>
            <w:szCs w:val="20"/>
          </w:rPr>
          <w:t xml:space="preserve">Scope</w:t>
        </w:r>
      </w:hyperlink>
    </w:p>
    <w:p>
      <w:pPr>
        <w:pBdr>
          <w:bottom w:val="dotted" w:color="CFDDE1" w:sz="3" w:space="1"/>
        </w:pBdr>
        <w:spacing w:after="95" w:before="60"/>
      </w:pPr>
      <w:hyperlink w:history="1" w:anchor="standard-focus">
        <w:r>
          <w:rPr>
            <w:rFonts w:ascii="Times New Roman" w:cs="Times New Roman" w:eastAsia="Times New Roman" w:hAnsi="Times New Roman"/>
            <w:b/>
            <w:bCs/>
            <w:color w:val="244B59"/>
            <w:sz w:val="20"/>
            <w:szCs w:val="20"/>
          </w:rPr>
          <w:t xml:space="preserve">04   </w:t>
        </w:r>
        <w:r>
          <w:rPr>
            <w:rFonts w:ascii="Times New Roman" w:cs="Times New Roman" w:eastAsia="Times New Roman" w:hAnsi="Times New Roman"/>
            <w:color w:val="17343E"/>
            <w:sz w:val="20"/>
            <w:szCs w:val="20"/>
          </w:rPr>
          <w:t xml:space="preserve">Key Focus Areas</w:t>
        </w:r>
      </w:hyperlink>
    </w:p>
    <w:p>
      <w:pPr>
        <w:pBdr>
          <w:bottom w:val="dotted" w:color="CFDDE1" w:sz="3" w:space="1"/>
        </w:pBdr>
        <w:spacing w:after="95" w:before="60"/>
      </w:pPr>
      <w:hyperlink w:history="1" w:anchor="standard-qualitative">
        <w:r>
          <w:rPr>
            <w:rFonts w:ascii="Times New Roman" w:cs="Times New Roman" w:eastAsia="Times New Roman" w:hAnsi="Times New Roman"/>
            <w:b/>
            <w:bCs/>
            <w:color w:val="244B59"/>
            <w:sz w:val="20"/>
            <w:szCs w:val="20"/>
          </w:rPr>
          <w:t xml:space="preserve">05   </w:t>
        </w:r>
        <w:r>
          <w:rPr>
            <w:rFonts w:ascii="Times New Roman" w:cs="Times New Roman" w:eastAsia="Times New Roman" w:hAnsi="Times New Roman"/>
            <w:color w:val="17343E"/>
            <w:sz w:val="20"/>
            <w:szCs w:val="20"/>
          </w:rPr>
          <w:t xml:space="preserve">Qualitative Objectives</w:t>
        </w:r>
      </w:hyperlink>
    </w:p>
    <w:p>
      <w:pPr>
        <w:pBdr>
          <w:bottom w:val="dotted" w:color="CFDDE1" w:sz="3" w:space="1"/>
        </w:pBdr>
        <w:spacing w:after="95" w:before="60"/>
      </w:pPr>
      <w:hyperlink w:history="1" w:anchor="standard-quantitative">
        <w:r>
          <w:rPr>
            <w:rFonts w:ascii="Times New Roman" w:cs="Times New Roman" w:eastAsia="Times New Roman" w:hAnsi="Times New Roman"/>
            <w:b/>
            <w:bCs/>
            <w:color w:val="244B59"/>
            <w:sz w:val="20"/>
            <w:szCs w:val="20"/>
          </w:rPr>
          <w:t xml:space="preserve">06   </w:t>
        </w:r>
        <w:r>
          <w:rPr>
            <w:rFonts w:ascii="Times New Roman" w:cs="Times New Roman" w:eastAsia="Times New Roman" w:hAnsi="Times New Roman"/>
            <w:color w:val="17343E"/>
            <w:sz w:val="20"/>
            <w:szCs w:val="20"/>
          </w:rPr>
          <w:t xml:space="preserve">Quantitative Targets</w:t>
        </w:r>
      </w:hyperlink>
    </w:p>
    <w:p>
      <w:pPr>
        <w:pBdr>
          <w:bottom w:val="dotted" w:color="CFDDE1" w:sz="3" w:space="1"/>
        </w:pBdr>
        <w:spacing w:after="95" w:before="60"/>
      </w:pPr>
      <w:hyperlink w:history="1" w:anchor="standard-sdg">
        <w:r>
          <w:rPr>
            <w:rFonts w:ascii="Times New Roman" w:cs="Times New Roman" w:eastAsia="Times New Roman" w:hAnsi="Times New Roman"/>
            <w:b/>
            <w:bCs/>
            <w:color w:val="244B59"/>
            <w:sz w:val="20"/>
            <w:szCs w:val="20"/>
          </w:rPr>
          <w:t xml:space="preserve">07   </w:t>
        </w:r>
        <w:r>
          <w:rPr>
            <w:rFonts w:ascii="Times New Roman" w:cs="Times New Roman" w:eastAsia="Times New Roman" w:hAnsi="Times New Roman"/>
            <w:color w:val="17343E"/>
            <w:sz w:val="20"/>
            <w:szCs w:val="20"/>
          </w:rPr>
          <w:t xml:space="preserve">SDG Alignment</w:t>
        </w:r>
      </w:hyperlink>
    </w:p>
    <w:p>
      <w:pPr>
        <w:pBdr>
          <w:bottom w:val="dotted" w:color="CFDDE1" w:sz="3" w:space="1"/>
        </w:pBdr>
        <w:spacing w:after="95" w:before="60"/>
      </w:pPr>
      <w:hyperlink w:history="1" w:anchor="standard-responsibilities">
        <w:r>
          <w:rPr>
            <w:rFonts w:ascii="Times New Roman" w:cs="Times New Roman" w:eastAsia="Times New Roman" w:hAnsi="Times New Roman"/>
            <w:b/>
            <w:bCs/>
            <w:color w:val="244B59"/>
            <w:sz w:val="20"/>
            <w:szCs w:val="20"/>
          </w:rPr>
          <w:t xml:space="preserve">08   </w:t>
        </w:r>
        <w:r>
          <w:rPr>
            <w:rFonts w:ascii="Times New Roman" w:cs="Times New Roman" w:eastAsia="Times New Roman" w:hAnsi="Times New Roman"/>
            <w:color w:val="17343E"/>
            <w:sz w:val="20"/>
            <w:szCs w:val="20"/>
          </w:rPr>
          <w:t xml:space="preserve">Roles &amp; Responsibilities</w:t>
        </w:r>
      </w:hyperlink>
    </w:p>
    <w:p>
      <w:pPr>
        <w:pBdr>
          <w:bottom w:val="dotted" w:color="CFDDE1" w:sz="3" w:space="1"/>
        </w:pBdr>
        <w:spacing w:after="95" w:before="60"/>
      </w:pPr>
      <w:hyperlink w:history="1" w:anchor="standard-monitoring">
        <w:r>
          <w:rPr>
            <w:rFonts w:ascii="Times New Roman" w:cs="Times New Roman" w:eastAsia="Times New Roman" w:hAnsi="Times New Roman"/>
            <w:b/>
            <w:bCs/>
            <w:color w:val="244B59"/>
            <w:sz w:val="20"/>
            <w:szCs w:val="20"/>
          </w:rPr>
          <w:t xml:space="preserve">09   </w:t>
        </w:r>
        <w:r>
          <w:rPr>
            <w:rFonts w:ascii="Times New Roman" w:cs="Times New Roman" w:eastAsia="Times New Roman" w:hAnsi="Times New Roman"/>
            <w:color w:val="17343E"/>
            <w:sz w:val="20"/>
            <w:szCs w:val="20"/>
          </w:rPr>
          <w:t xml:space="preserve">Monitoring, Reporting &amp; Transparency</w:t>
        </w:r>
      </w:hyperlink>
    </w:p>
    <w:p>
      <w:pPr>
        <w:pBdr>
          <w:bottom w:val="dotted" w:color="CFDDE1" w:sz="3" w:space="1"/>
        </w:pBdr>
        <w:spacing w:after="95" w:before="60"/>
      </w:pPr>
      <w:hyperlink w:history="1" w:anchor="standard-review">
        <w:r>
          <w:rPr>
            <w:rFonts w:ascii="Times New Roman" w:cs="Times New Roman" w:eastAsia="Times New Roman" w:hAnsi="Times New Roman"/>
            <w:b/>
            <w:bCs/>
            <w:color w:val="244B59"/>
            <w:sz w:val="20"/>
            <w:szCs w:val="20"/>
          </w:rPr>
          <w:t xml:space="preserve">10   </w:t>
        </w:r>
        <w:r>
          <w:rPr>
            <w:rFonts w:ascii="Times New Roman" w:cs="Times New Roman" w:eastAsia="Times New Roman" w:hAnsi="Times New Roman"/>
            <w:color w:val="17343E"/>
            <w:sz w:val="20"/>
            <w:szCs w:val="20"/>
          </w:rPr>
          <w:t xml:space="preserve">Review Mechanism &amp; Continuous Improvement</w:t>
        </w:r>
      </w:hyperlink>
    </w:p>
    <w:p>
      <w:r>
        <w:br w:type="page"/>
      </w:r>
    </w:p>
    <w:p>
      <w:pPr>
        <w:pStyle w:val="PolicyHeading"/>
        <w:pBdr>
          <w:bottom w:val="single" w:color="244B59" w:sz="4" w:space="1"/>
        </w:pBdr>
        <w:spacing w:after="180" w:before="260"/>
        <w:jc w:val="left"/>
      </w:pPr>
      <w:bookmarkStart w:name="standard-preface" w:id="1"/>
      <w:bookmarkEnd w:id="1"/>
      <w:r>
        <w:rPr>
          <w:rFonts w:ascii="Times New Roman" w:cs="Times New Roman" w:eastAsia="Times New Roman" w:hAnsi="Times New Roman"/>
          <w:color w:val="65757B"/>
          <w:sz w:val="20"/>
          <w:szCs w:val="20"/>
        </w:rPr>
        <w:t xml:space="preserve">01   </w:t>
      </w:r>
      <w:r>
        <w:rPr>
          <w:rFonts w:ascii="Times New Roman" w:cs="Times New Roman" w:eastAsia="Times New Roman" w:hAnsi="Times New Roman"/>
          <w:b/>
          <w:bCs/>
          <w:color w:val="17343E"/>
          <w:sz w:val="30"/>
          <w:szCs w:val="30"/>
        </w:rPr>
        <w:t xml:space="preserve">Preface</w:t>
      </w:r>
    </w:p>
    <w:p>
      <w:pPr>
        <w:pStyle w:val="PolicyBody"/>
        <w:spacing w:after="150" w:line="300"/>
        <w:jc w:val="both"/>
      </w:pPr>
      <w:r>
        <w:rPr>
          <w:rFonts w:ascii="Times New Roman" w:cs="Times New Roman" w:eastAsia="Times New Roman" w:hAnsi="Times New Roman"/>
          <w:sz w:val="19"/>
          <w:szCs w:val="19"/>
        </w:rPr>
        <w:t xml:space="preserve">Acme Specialty Chemicals Pvt. Ltd. is committed to environmental stewardship across every facility, process and product. As a manufacturer of specialty intermediates, we recognize our responsibility to minimize ecological impact, conserve natural resources and operate in line with internationally recognized environmental standards. This Environmental Policy establishes the framework through which we set objectives, allocate resources and measure progress toward a more sustainable future.</w:t>
      </w:r>
    </w:p>
    <w:p>
      <w:pPr>
        <w:spacing w:before="115"/>
      </w:pPr>
      <w:r>
        <w:rPr>
          <w:sz w:val="2"/>
          <w:szCs w:val="2"/>
        </w:rPr>
        <w:t xml:space="preserve"> </w:t>
      </w:r>
    </w:p>
    <w:p>
      <w:pPr>
        <w:pStyle w:val="PolicyHeading"/>
        <w:pBdr>
          <w:bottom w:val="single" w:color="244B59" w:sz="4" w:space="1"/>
        </w:pBdr>
        <w:spacing w:after="180" w:before="260"/>
        <w:jc w:val="left"/>
      </w:pPr>
      <w:bookmarkStart w:name="standard-declaration" w:id="1"/>
      <w:bookmarkEnd w:id="1"/>
      <w:r>
        <w:rPr>
          <w:rFonts w:ascii="Times New Roman" w:cs="Times New Roman" w:eastAsia="Times New Roman" w:hAnsi="Times New Roman"/>
          <w:color w:val="65757B"/>
          <w:sz w:val="20"/>
          <w:szCs w:val="20"/>
        </w:rPr>
        <w:t xml:space="preserve">02   </w:t>
      </w:r>
      <w:r>
        <w:rPr>
          <w:rFonts w:ascii="Times New Roman" w:cs="Times New Roman" w:eastAsia="Times New Roman" w:hAnsi="Times New Roman"/>
          <w:b/>
          <w:bCs/>
          <w:color w:val="17343E"/>
          <w:sz w:val="30"/>
          <w:szCs w:val="30"/>
        </w:rPr>
        <w:t xml:space="preserve">Policy Declaration</w:t>
      </w:r>
    </w:p>
    <w:p>
      <w:pPr>
        <w:pStyle w:val="PolicyBody"/>
        <w:spacing w:after="150" w:line="300"/>
        <w:jc w:val="both"/>
      </w:pPr>
      <w:r>
        <w:rPr>
          <w:rFonts w:ascii="Times New Roman" w:cs="Times New Roman" w:eastAsia="Times New Roman" w:hAnsi="Times New Roman"/>
          <w:sz w:val="19"/>
          <w:szCs w:val="19"/>
        </w:rPr>
        <w:t xml:space="preserve">Acme Specialty Chemicals affirms its unwavering commitment to protecting the environment, preventing pollution, and continually improving its environmental performance. The Company will comply with all applicable legal requirements, reduce its carbon and water intensity, manage waste responsibly, and integrate environmental considerations into every business decision.</w:t>
      </w:r>
    </w:p>
    <w:p>
      <w:pPr>
        <w:spacing w:before="115"/>
      </w:pPr>
      <w:r>
        <w:rPr>
          <w:sz w:val="2"/>
          <w:szCs w:val="2"/>
        </w:rPr>
        <w:t xml:space="preserve"> </w:t>
      </w:r>
    </w:p>
    <w:p>
      <w:pPr>
        <w:pStyle w:val="PolicyHeading"/>
        <w:pBdr>
          <w:bottom w:val="single" w:color="244B59" w:sz="4" w:space="1"/>
        </w:pBdr>
        <w:spacing w:after="180" w:before="260"/>
        <w:jc w:val="left"/>
      </w:pPr>
      <w:bookmarkStart w:name="standard-scope" w:id="1"/>
      <w:bookmarkEnd w:id="1"/>
      <w:r>
        <w:rPr>
          <w:rFonts w:ascii="Times New Roman" w:cs="Times New Roman" w:eastAsia="Times New Roman" w:hAnsi="Times New Roman"/>
          <w:color w:val="65757B"/>
          <w:sz w:val="20"/>
          <w:szCs w:val="20"/>
        </w:rPr>
        <w:t xml:space="preserve">03   </w:t>
      </w:r>
      <w:r>
        <w:rPr>
          <w:rFonts w:ascii="Times New Roman" w:cs="Times New Roman" w:eastAsia="Times New Roman" w:hAnsi="Times New Roman"/>
          <w:b/>
          <w:bCs/>
          <w:color w:val="17343E"/>
          <w:sz w:val="30"/>
          <w:szCs w:val="30"/>
        </w:rPr>
        <w:t xml:space="preserve">Scope</w:t>
      </w:r>
    </w:p>
    <w:p>
      <w:pPr>
        <w:pStyle w:val="PolicyBody"/>
        <w:spacing w:after="150" w:line="300"/>
        <w:jc w:val="both"/>
      </w:pPr>
      <w:r>
        <w:rPr>
          <w:rFonts w:ascii="Times New Roman" w:cs="Times New Roman" w:eastAsia="Times New Roman" w:hAnsi="Times New Roman"/>
          <w:sz w:val="19"/>
          <w:szCs w:val="19"/>
        </w:rPr>
        <w:t xml:space="preserve">This Environmental Policy applies to all operations, sites and activities of Acme Specialty Chemicals Pvt. Ltd., including manufacturing, R&amp;D, warehousing, logistics, and corporate functions. It covers all employees, contractors, suppliers and visitors acting on behalf of the Company.</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focus" w:id="1"/>
      <w:bookmarkEnd w:id="1"/>
      <w:r>
        <w:rPr>
          <w:rFonts w:ascii="Times New Roman" w:cs="Times New Roman" w:eastAsia="Times New Roman" w:hAnsi="Times New Roman"/>
          <w:color w:val="65757B"/>
          <w:sz w:val="20"/>
          <w:szCs w:val="20"/>
        </w:rPr>
        <w:t xml:space="preserve">04   </w:t>
      </w:r>
      <w:r>
        <w:rPr>
          <w:rFonts w:ascii="Times New Roman" w:cs="Times New Roman" w:eastAsia="Times New Roman" w:hAnsi="Times New Roman"/>
          <w:b/>
          <w:bCs/>
          <w:color w:val="17343E"/>
          <w:sz w:val="30"/>
          <w:szCs w:val="30"/>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01</w:t>
            </w:r>
            <w:r>
              <w:rPr>
                <w:rFonts w:ascii="Times New Roman" w:cs="Times New Roman" w:eastAsia="Times New Roman" w:hAnsi="Times New Roman"/>
                <w:b/>
                <w:bCs/>
                <w:color w:val="18262C"/>
                <w:sz w:val="24"/>
                <w:szCs w:val="24"/>
              </w:rPr>
              <w:t xml:space="preserve">  Energy Consumption &amp; GHG Emissions</w:t>
            </w:r>
          </w:p>
        </w:tc>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02</w:t>
            </w:r>
            <w:r>
              <w:rPr>
                <w:rFonts w:ascii="Times New Roman" w:cs="Times New Roman" w:eastAsia="Times New Roman" w:hAnsi="Times New Roman"/>
                <w:b/>
                <w:bCs/>
                <w:color w:val="18262C"/>
                <w:sz w:val="24"/>
                <w:szCs w:val="24"/>
              </w:rPr>
              <w:t xml:space="preserve">  Air Emissions Control</w:t>
            </w:r>
          </w:p>
        </w:tc>
      </w:tr>
      <w:tr>
        <w:trPr>
          <w:cantSplit/>
        </w:trPr>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03</w:t>
            </w:r>
            <w:r>
              <w:rPr>
                <w:rFonts w:ascii="Times New Roman" w:cs="Times New Roman" w:eastAsia="Times New Roman" w:hAnsi="Times New Roman"/>
                <w:b/>
                <w:bCs/>
                <w:color w:val="18262C"/>
                <w:sz w:val="24"/>
                <w:szCs w:val="24"/>
              </w:rPr>
              <w:t xml:space="preserve">  Raw Materials &amp; Resource Efficiency</w:t>
            </w:r>
          </w:p>
        </w:tc>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04</w:t>
            </w:r>
            <w:r>
              <w:rPr>
                <w:rFonts w:ascii="Times New Roman" w:cs="Times New Roman" w:eastAsia="Times New Roman" w:hAnsi="Times New Roman"/>
                <w:b/>
                <w:bCs/>
                <w:color w:val="18262C"/>
                <w:sz w:val="24"/>
                <w:szCs w:val="24"/>
              </w:rPr>
              <w:t xml:space="preserve">  Waste Management &amp; Circularity</w:t>
            </w:r>
          </w:p>
        </w:tc>
      </w:tr>
      <w:tr>
        <w:trPr>
          <w:cantSplit/>
        </w:trPr>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05</w:t>
            </w:r>
            <w:r>
              <w:rPr>
                <w:rFonts w:ascii="Times New Roman" w:cs="Times New Roman" w:eastAsia="Times New Roman" w:hAnsi="Times New Roman"/>
                <w:b/>
                <w:bCs/>
                <w:color w:val="18262C"/>
                <w:sz w:val="24"/>
                <w:szCs w:val="24"/>
              </w:rPr>
              <w:t xml:space="preserve">  Water Stewardship</w:t>
            </w:r>
          </w:p>
        </w:tc>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06</w:t>
            </w:r>
            <w:r>
              <w:rPr>
                <w:rFonts w:ascii="Times New Roman" w:cs="Times New Roman" w:eastAsia="Times New Roman" w:hAnsi="Times New Roman"/>
                <w:b/>
                <w:bCs/>
                <w:color w:val="18262C"/>
                <w:sz w:val="24"/>
                <w:szCs w:val="24"/>
              </w:rPr>
              <w:t xml:space="preserve">  Biodiversity &amp; Land Use</w:t>
            </w:r>
          </w:p>
        </w:tc>
      </w:tr>
      <w:tr>
        <w:trPr>
          <w:cantSplit/>
        </w:trPr>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07</w:t>
            </w:r>
            <w:r>
              <w:rPr>
                <w:rFonts w:ascii="Times New Roman" w:cs="Times New Roman" w:eastAsia="Times New Roman" w:hAnsi="Times New Roman"/>
                <w:b/>
                <w:bCs/>
                <w:color w:val="18262C"/>
                <w:sz w:val="24"/>
                <w:szCs w:val="24"/>
              </w:rPr>
              <w:t xml:space="preserve">  Climate Risk &amp; Emergency Preparedness</w:t>
            </w:r>
          </w:p>
        </w:tc>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08</w:t>
            </w:r>
            <w:r>
              <w:rPr>
                <w:rFonts w:ascii="Times New Roman" w:cs="Times New Roman" w:eastAsia="Times New Roman" w:hAnsi="Times New Roman"/>
                <w:b/>
                <w:bCs/>
                <w:color w:val="18262C"/>
                <w:sz w:val="24"/>
                <w:szCs w:val="24"/>
              </w:rPr>
              <w:t xml:space="preserve">  Product End-of-Life &amp; Environmental Stewardship</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qualitative" w:id="1"/>
      <w:bookmarkEnd w:id="1"/>
      <w:r>
        <w:rPr>
          <w:rFonts w:ascii="Times New Roman" w:cs="Times New Roman" w:eastAsia="Times New Roman" w:hAnsi="Times New Roman"/>
          <w:color w:val="65757B"/>
          <w:sz w:val="20"/>
          <w:szCs w:val="20"/>
        </w:rPr>
        <w:t xml:space="preserve">05   </w:t>
      </w:r>
      <w:r>
        <w:rPr>
          <w:rFonts w:ascii="Times New Roman" w:cs="Times New Roman" w:eastAsia="Times New Roman" w:hAnsi="Times New Roman"/>
          <w:b/>
          <w:bCs/>
          <w:color w:val="17343E"/>
          <w:sz w:val="30"/>
          <w:szCs w:val="30"/>
        </w:rPr>
        <w:t xml:space="preserve">Qualitative Objectives</w:t>
      </w:r>
    </w:p>
    <w:p>
      <w:pPr>
        <w:spacing w:after="90"/>
      </w:pPr>
      <w:r>
        <w:rPr>
          <w:rFonts w:ascii="Times New Roman" w:cs="Times New Roman" w:eastAsia="Times New Roman" w:hAnsi="Times New Roman"/>
          <w:b/>
          <w:bCs/>
          <w:color w:val="244B59"/>
          <w:sz w:val="18"/>
          <w:szCs w:val="18"/>
        </w:rPr>
        <w:t xml:space="preserve">01  </w:t>
      </w:r>
      <w:r>
        <w:rPr>
          <w:rFonts w:ascii="Times New Roman" w:cs="Times New Roman" w:eastAsia="Times New Roman" w:hAnsi="Times New Roman"/>
          <w:b/>
          <w:bCs/>
          <w:color w:val="17343E"/>
          <w:sz w:val="24"/>
          <w:szCs w:val="24"/>
        </w:rPr>
        <w:t xml:space="preserve">Energy Consumption &amp; GHG Emissions</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Improve energy efficiency across all manufacturing operations and reduce absolute Scope 1 and Scope 2 GHG emissions year-on-year.</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Increase the share of renewable electricity in our total energy mix and procure credible renewable energy certificates where feasible.</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Maintain an energy management system aligned with ISO 50001 and disclose progress in our annual sustainability report.</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02  </w:t>
      </w:r>
      <w:r>
        <w:rPr>
          <w:rFonts w:ascii="Times New Roman" w:cs="Times New Roman" w:eastAsia="Times New Roman" w:hAnsi="Times New Roman"/>
          <w:b/>
          <w:bCs/>
          <w:color w:val="17343E"/>
          <w:sz w:val="24"/>
          <w:szCs w:val="24"/>
        </w:rPr>
        <w:t xml:space="preserve">Air Emissions Control</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Operate and maintain air pollution control equipment to keep all stack emissions well below regulatory limits.</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Monitor fugitive emissions through periodic Leak Detection and Repair (LDAR) programs.</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Progressively replace high-global-warming-potential process gases with low-GWP alternatives.</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03  </w:t>
      </w:r>
      <w:r>
        <w:rPr>
          <w:rFonts w:ascii="Times New Roman" w:cs="Times New Roman" w:eastAsia="Times New Roman" w:hAnsi="Times New Roman"/>
          <w:b/>
          <w:bCs/>
          <w:color w:val="17343E"/>
          <w:sz w:val="24"/>
          <w:szCs w:val="24"/>
        </w:rPr>
        <w:t xml:space="preserve">Raw Materials &amp; Resource Efficiency</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Optimize raw material use, increase process yields and reduce process losses through continuous improvement.</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Prefer bio-based, recycled and sustainably sourced inputs where technically and commercially viable.</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Collaborate with R&amp;D and procurement to design products with reduced environmental footprint.</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04  </w:t>
      </w:r>
      <w:r>
        <w:rPr>
          <w:rFonts w:ascii="Times New Roman" w:cs="Times New Roman" w:eastAsia="Times New Roman" w:hAnsi="Times New Roman"/>
          <w:b/>
          <w:bCs/>
          <w:color w:val="17343E"/>
          <w:sz w:val="24"/>
          <w:szCs w:val="24"/>
        </w:rPr>
        <w:t xml:space="preserve">Waste Management &amp; Circularity</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Apply the waste hierarchy - prevent, reduce, reuse, recycle, recover, dispose - across all operations.</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Achieve diversion of operational waste from landfill through segregation, recycling and co-processing.</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Engage with licensed third-party waste processors and maintain auditable manifests for all hazardous waste streams.</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05  </w:t>
      </w:r>
      <w:r>
        <w:rPr>
          <w:rFonts w:ascii="Times New Roman" w:cs="Times New Roman" w:eastAsia="Times New Roman" w:hAnsi="Times New Roman"/>
          <w:b/>
          <w:bCs/>
          <w:color w:val="17343E"/>
          <w:sz w:val="24"/>
          <w:szCs w:val="24"/>
        </w:rPr>
        <w:t xml:space="preserve">Water Stewardship</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Reduce freshwater withdrawal per unit of production and recycle treated wastewater in suitable applications.</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Maintain zero-liquid-discharge compliant treatment systems and conduct periodic third-party water-quality audits.</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Conduct site-level water risk assessments using tools such as WRI Aqueduct and respond to high-risk findings.</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06  </w:t>
      </w:r>
      <w:r>
        <w:rPr>
          <w:rFonts w:ascii="Times New Roman" w:cs="Times New Roman" w:eastAsia="Times New Roman" w:hAnsi="Times New Roman"/>
          <w:b/>
          <w:bCs/>
          <w:color w:val="17343E"/>
          <w:sz w:val="24"/>
          <w:szCs w:val="24"/>
        </w:rPr>
        <w:t xml:space="preserve">Biodiversity &amp; Land Use</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Avoid operating in or near ecologically sensitive areas and conduct biodiversity impact assessments for new projects.</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Implement landscaping and habitat programs on owned land to support local flora and fauna.</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Engage with local communities and conservation groups on biodiversity stewardship initiatives.</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07  </w:t>
      </w:r>
      <w:r>
        <w:rPr>
          <w:rFonts w:ascii="Times New Roman" w:cs="Times New Roman" w:eastAsia="Times New Roman" w:hAnsi="Times New Roman"/>
          <w:b/>
          <w:bCs/>
          <w:color w:val="17343E"/>
          <w:sz w:val="24"/>
          <w:szCs w:val="24"/>
        </w:rPr>
        <w:t xml:space="preserve">Climate Risk &amp; Emergency Preparedness</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assess and mitigate climate-related physical and transition risks as part of enterprise risk management.</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Maintain site-level emergency response plans for spills, releases and natural events, and conduct regular drills.</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Disclose climate-related risks and opportunities aligned with TCFD recommendations.</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08  </w:t>
      </w:r>
      <w:r>
        <w:rPr>
          <w:rFonts w:ascii="Times New Roman" w:cs="Times New Roman" w:eastAsia="Times New Roman" w:hAnsi="Times New Roman"/>
          <w:b/>
          <w:bCs/>
          <w:color w:val="17343E"/>
          <w:sz w:val="24"/>
          <w:szCs w:val="24"/>
        </w:rPr>
        <w:t xml:space="preserve">Product End-of-Life &amp; Environmental Stewardship</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Apply life-cycle thinking to product design and provide customers with end-of-life and disposal guidance.</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Extend producer responsibility by participating in take-back and recycling programs where applicable.</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Continuously improve packaging to reduce material use and increase recycled content.</w:t>
      </w:r>
    </w:p>
    <w:p>
      <w:pPr>
        <w:spacing w:before="70"/>
      </w:pPr>
      <w:r>
        <w:rPr>
          <w:sz w:val="2"/>
          <w:szCs w:val="2"/>
        </w:rPr>
        <w:t xml:space="preserve"> </w:t>
      </w:r>
    </w:p>
    <w:p>
      <w:pPr>
        <w:spacing w:before="115"/>
      </w:pPr>
      <w:r>
        <w:rPr>
          <w:sz w:val="2"/>
          <w:szCs w:val="2"/>
        </w:rPr>
        <w:t xml:space="preserve"> </w:t>
      </w:r>
    </w:p>
    <w:p>
      <w:pPr>
        <w:pStyle w:val="PolicyHeading"/>
        <w:pBdr>
          <w:bottom w:val="single" w:color="244B59" w:sz="4" w:space="1"/>
        </w:pBdr>
        <w:spacing w:after="180" w:before="260"/>
        <w:jc w:val="left"/>
      </w:pPr>
      <w:bookmarkStart w:name="standard-quantitative" w:id="1"/>
      <w:bookmarkEnd w:id="1"/>
      <w:r>
        <w:rPr>
          <w:rFonts w:ascii="Times New Roman" w:cs="Times New Roman" w:eastAsia="Times New Roman" w:hAnsi="Times New Roman"/>
          <w:color w:val="65757B"/>
          <w:sz w:val="20"/>
          <w:szCs w:val="20"/>
        </w:rPr>
        <w:t xml:space="preserve">06   </w:t>
      </w:r>
      <w:r>
        <w:rPr>
          <w:rFonts w:ascii="Times New Roman" w:cs="Times New Roman" w:eastAsia="Times New Roman" w:hAnsi="Times New Roman"/>
          <w:b/>
          <w:bCs/>
          <w:color w:val="17343E"/>
          <w:sz w:val="30"/>
          <w:szCs w:val="30"/>
        </w:rPr>
        <w:t xml:space="preserve">Quantitative Targets</w:t>
      </w:r>
    </w:p>
    <w:p>
      <w:pPr>
        <w:spacing w:after="120"/>
      </w:pPr>
      <w:r>
        <w:rPr>
          <w:rFonts w:ascii="Times New Roman" w:cs="Times New Roman" w:eastAsia="Times New Roman" w:hAnsi="Times New Roman"/>
          <w:i/>
          <w:iCs/>
          <w:color w:val="65757B"/>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w:t>
            </w:r>
          </w:p>
        </w:tc>
        <w:tc>
          <w:tcPr>
            <w:tcW w:type="dxa" w:w="171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Focus Area</w:t>
            </w:r>
          </w:p>
        </w:tc>
        <w:tc>
          <w:tcPr>
            <w:tcW w:type="dxa" w:w="3135"/>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Target</w:t>
            </w:r>
          </w:p>
        </w:tc>
        <w:tc>
          <w:tcPr>
            <w:tcW w:type="dxa" w:w="1187"/>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Baseline</w:t>
            </w:r>
          </w:p>
        </w:tc>
        <w:tc>
          <w:tcPr>
            <w:tcW w:type="dxa" w:w="1187"/>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Deadline</w:t>
            </w:r>
          </w:p>
        </w:tc>
        <w:tc>
          <w:tcPr>
            <w:tcW w:type="dxa" w:w="1766"/>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42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Energy Consumption &amp; GHG Emissions</w:t>
            </w:r>
          </w:p>
        </w:tc>
        <w:tc>
          <w:tcPr>
            <w:tcW w:type="dxa" w:w="313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Reduce specific energy consumption (kWh per tonne of product) by 15%</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2029-30</w:t>
            </w:r>
          </w:p>
        </w:tc>
        <w:tc>
          <w:tcPr>
            <w:tcW w:type="dxa" w:w="176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Energy Consumption &amp; GHG Emissions</w:t>
            </w:r>
          </w:p>
        </w:tc>
        <w:tc>
          <w:tcPr>
            <w:tcW w:type="dxa" w:w="313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Reduce absolute Scope 1 + Scope 2 GHG emissions by 30%</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2030-31</w:t>
            </w:r>
          </w:p>
        </w:tc>
        <w:tc>
          <w:tcPr>
            <w:tcW w:type="dxa" w:w="176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Energy Consumption &amp; GHG Emissions</w:t>
            </w:r>
          </w:p>
        </w:tc>
        <w:tc>
          <w:tcPr>
            <w:tcW w:type="dxa" w:w="313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Source 50% of electricity from renewables</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4</w:t>
            </w:r>
          </w:p>
        </w:tc>
        <w:tc>
          <w:tcPr>
            <w:tcW w:type="dxa" w:w="171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Water Stewardship</w:t>
            </w:r>
          </w:p>
        </w:tc>
        <w:tc>
          <w:tcPr>
            <w:tcW w:type="dxa" w:w="313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Reduce specific freshwater withdrawal by 25%</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2029-30</w:t>
            </w:r>
          </w:p>
        </w:tc>
        <w:tc>
          <w:tcPr>
            <w:tcW w:type="dxa" w:w="176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5</w:t>
            </w:r>
          </w:p>
        </w:tc>
        <w:tc>
          <w:tcPr>
            <w:tcW w:type="dxa" w:w="171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Water Stewardship</w:t>
            </w:r>
          </w:p>
        </w:tc>
        <w:tc>
          <w:tcPr>
            <w:tcW w:type="dxa" w:w="313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Recycle / reuse 70% of process wastewater</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6</w:t>
            </w:r>
          </w:p>
        </w:tc>
        <w:tc>
          <w:tcPr>
            <w:tcW w:type="dxa" w:w="171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Waste Management &amp; Circularity</w:t>
            </w:r>
          </w:p>
        </w:tc>
        <w:tc>
          <w:tcPr>
            <w:tcW w:type="dxa" w:w="313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Achieve 95% diversion of operational waste from landfill</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7</w:t>
            </w:r>
          </w:p>
        </w:tc>
        <w:tc>
          <w:tcPr>
            <w:tcW w:type="dxa" w:w="171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Waste Management &amp; Circularity</w:t>
            </w:r>
          </w:p>
        </w:tc>
        <w:tc>
          <w:tcPr>
            <w:tcW w:type="dxa" w:w="313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Reduce hazardous waste generation per unit by 20%</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2029-30</w:t>
            </w:r>
          </w:p>
        </w:tc>
        <w:tc>
          <w:tcPr>
            <w:tcW w:type="dxa" w:w="176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8</w:t>
            </w:r>
          </w:p>
        </w:tc>
        <w:tc>
          <w:tcPr>
            <w:tcW w:type="dxa" w:w="171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Air Emissions Control</w:t>
            </w:r>
          </w:p>
        </w:tc>
        <w:tc>
          <w:tcPr>
            <w:tcW w:type="dxa" w:w="313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Maintain zero exceedance of statutory air emission limits</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2022-23</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2027-28</w:t>
            </w:r>
          </w:p>
        </w:tc>
        <w:tc>
          <w:tcPr>
            <w:tcW w:type="dxa" w:w="176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9</w:t>
            </w:r>
          </w:p>
        </w:tc>
        <w:tc>
          <w:tcPr>
            <w:tcW w:type="dxa" w:w="171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Air Emissions Control</w:t>
            </w:r>
          </w:p>
        </w:tc>
        <w:tc>
          <w:tcPr>
            <w:tcW w:type="dxa" w:w="313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Replace 100% of high-GWP refrigerants with low-GWP alternatives</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sdg" w:id="1"/>
      <w:bookmarkEnd w:id="1"/>
      <w:r>
        <w:rPr>
          <w:rFonts w:ascii="Times New Roman" w:cs="Times New Roman" w:eastAsia="Times New Roman" w:hAnsi="Times New Roman"/>
          <w:color w:val="65757B"/>
          <w:sz w:val="20"/>
          <w:szCs w:val="20"/>
        </w:rPr>
        <w:t xml:space="preserve">07   </w:t>
      </w:r>
      <w:r>
        <w:rPr>
          <w:rFonts w:ascii="Times New Roman" w:cs="Times New Roman" w:eastAsia="Times New Roman" w:hAnsi="Times New Roman"/>
          <w:b/>
          <w:bCs/>
          <w:color w:val="17343E"/>
          <w:sz w:val="30"/>
          <w:szCs w:val="30"/>
        </w:rPr>
        <w:t xml:space="preserve">SDG Alignment</w:t>
      </w:r>
    </w:p>
    <w:p>
      <w:pPr>
        <w:spacing w:after="130"/>
      </w:pPr>
      <w:r>
        <w:rPr>
          <w:rFonts w:ascii="Times New Roman" w:cs="Times New Roman" w:eastAsia="Times New Roman" w:hAnsi="Times New Roman"/>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26BDE2" w:color="26BDE2" w:val="solid"/>
            <w:tcMar>
              <w:top w:type="dxa" w:w="120"/>
              <w:left w:type="dxa" w:w="120"/>
              <w:bottom w:type="dxa" w:w="120"/>
              <w:right w:type="dxa" w:w="120"/>
            </w:tcMar>
            <w:vAlign w:val="center"/>
          </w:tcPr>
          <w:p>
            <w:pPr>
              <w:jc w:val="center"/>
            </w:pPr>
            <w:r>
              <w:rPr>
                <w:b/>
                <w:bCs/>
                <w:color w:val="FFFFFF"/>
                <w:sz w:val="17"/>
                <w:szCs w:val="17"/>
              </w:rPr>
              <w:t xml:space="preserve">SDG 6</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26BDE2"/>
                <w:sz w:val="19"/>
                <w:szCs w:val="19"/>
              </w:rPr>
              <w:t xml:space="preserve">Clean Water</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CC30B" w:color="FCC30B" w:val="solid"/>
            <w:tcMar>
              <w:top w:type="dxa" w:w="120"/>
              <w:left w:type="dxa" w:w="120"/>
              <w:bottom w:type="dxa" w:w="120"/>
              <w:right w:type="dxa" w:w="120"/>
            </w:tcMar>
            <w:vAlign w:val="center"/>
          </w:tcPr>
          <w:p>
            <w:pPr>
              <w:jc w:val="center"/>
            </w:pPr>
            <w:r>
              <w:rPr>
                <w:b/>
                <w:bCs/>
                <w:color w:val="FFFFFF"/>
                <w:sz w:val="17"/>
                <w:szCs w:val="17"/>
              </w:rPr>
              <w:t xml:space="preserve">SDG 7</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FCC30B"/>
                <w:sz w:val="19"/>
                <w:szCs w:val="19"/>
              </w:rPr>
              <w:t xml:space="preserve">Clean Energy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BF8B2E" w:color="BF8B2E" w:val="solid"/>
            <w:tcMar>
              <w:top w:type="dxa" w:w="120"/>
              <w:left w:type="dxa" w:w="120"/>
              <w:bottom w:type="dxa" w:w="120"/>
              <w:right w:type="dxa" w:w="120"/>
            </w:tcMar>
            <w:vAlign w:val="center"/>
          </w:tcPr>
          <w:p>
            <w:pPr>
              <w:jc w:val="center"/>
            </w:pPr>
            <w:r>
              <w:rPr>
                <w:b/>
                <w:bCs/>
                <w:color w:val="FFFFFF"/>
                <w:sz w:val="17"/>
                <w:szCs w:val="17"/>
              </w:rPr>
              <w:t xml:space="preserve">SDG 12</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BF8B2E"/>
                <w:sz w:val="19"/>
                <w:szCs w:val="19"/>
              </w:rPr>
              <w:t xml:space="preserve">Responsible Consumption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3F7E44" w:color="3F7E44" w:val="solid"/>
            <w:tcMar>
              <w:top w:type="dxa" w:w="120"/>
              <w:left w:type="dxa" w:w="120"/>
              <w:bottom w:type="dxa" w:w="120"/>
              <w:right w:type="dxa" w:w="120"/>
            </w:tcMar>
            <w:vAlign w:val="center"/>
          </w:tcPr>
          <w:p>
            <w:pPr>
              <w:jc w:val="center"/>
            </w:pPr>
            <w:r>
              <w:rPr>
                <w:b/>
                <w:bCs/>
                <w:color w:val="FFFFFF"/>
                <w:sz w:val="17"/>
                <w:szCs w:val="17"/>
              </w:rPr>
              <w:t xml:space="preserve">SDG 13</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3F7E44"/>
                <w:sz w:val="19"/>
                <w:szCs w:val="19"/>
              </w:rPr>
              <w:t xml:space="preserve">Climate Action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A97D9" w:color="0A97D9" w:val="solid"/>
            <w:tcMar>
              <w:top w:type="dxa" w:w="120"/>
              <w:left w:type="dxa" w:w="120"/>
              <w:bottom w:type="dxa" w:w="120"/>
              <w:right w:type="dxa" w:w="120"/>
            </w:tcMar>
            <w:vAlign w:val="center"/>
          </w:tcPr>
          <w:p>
            <w:pPr>
              <w:jc w:val="center"/>
            </w:pPr>
            <w:r>
              <w:rPr>
                <w:b/>
                <w:bCs/>
                <w:color w:val="FFFFFF"/>
                <w:sz w:val="17"/>
                <w:szCs w:val="17"/>
              </w:rPr>
              <w:t xml:space="preserve">SDG 14</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0A97D9"/>
                <w:sz w:val="19"/>
                <w:szCs w:val="19"/>
              </w:rPr>
              <w:t xml:space="preserve">Life Below Water</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56C02B" w:color="56C02B" w:val="solid"/>
            <w:tcMar>
              <w:top w:type="dxa" w:w="120"/>
              <w:left w:type="dxa" w:w="120"/>
              <w:bottom w:type="dxa" w:w="120"/>
              <w:right w:type="dxa" w:w="120"/>
            </w:tcMar>
            <w:vAlign w:val="center"/>
          </w:tcPr>
          <w:p>
            <w:pPr>
              <w:jc w:val="center"/>
            </w:pPr>
            <w:r>
              <w:rPr>
                <w:b/>
                <w:bCs/>
                <w:color w:val="FFFFFF"/>
                <w:sz w:val="17"/>
                <w:szCs w:val="17"/>
              </w:rPr>
              <w:t xml:space="preserve">SDG 15</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56C02B"/>
                <w:sz w:val="19"/>
                <w:szCs w:val="19"/>
              </w:rPr>
              <w:t xml:space="preserve">Life on Land</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19486A"/>
                <w:sz w:val="19"/>
                <w:szCs w:val="19"/>
              </w:rPr>
              <w:t xml:space="preserve">Partnerships</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responsibilities" w:id="1"/>
      <w:bookmarkEnd w:id="1"/>
      <w:r>
        <w:rPr>
          <w:rFonts w:ascii="Times New Roman" w:cs="Times New Roman" w:eastAsia="Times New Roman" w:hAnsi="Times New Roman"/>
          <w:color w:val="65757B"/>
          <w:sz w:val="20"/>
          <w:szCs w:val="20"/>
        </w:rPr>
        <w:t xml:space="preserve">08   </w:t>
      </w:r>
      <w:r>
        <w:rPr>
          <w:rFonts w:ascii="Times New Roman" w:cs="Times New Roman" w:eastAsia="Times New Roman" w:hAnsi="Times New Roman"/>
          <w:b/>
          <w:bCs/>
          <w:color w:val="17343E"/>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Board &amp; Senior Management</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Provide strategic direction, approve the policy, allocate resources, and review environmental performance at the highest level.</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EHS / Sustainability Team</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Maintain the environmental management system, ensure regulatory compliance, track KPIs, coordinate audits, and report progress to leadership.</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Production &amp; Operations</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Implement energy, water and waste management initiatives on the shop floor, maintain pollution control equipment, and minimize process losses.</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Procurement &amp; Supply Chain</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Engage suppliers on sustainability criteria, source environmentally responsible materials, and integrate ESG clauses into contracts.</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All Employees</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Follow environmental procedures, identify improvement opportunities, participate in training, and report incidents or concerns.</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Contractors &amp; Visitors</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Comply with site environmental rules, follow safe handling and waste segregation practices, and report any observed non-conformities.</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monitoring" w:id="1"/>
      <w:bookmarkEnd w:id="1"/>
      <w:r>
        <w:rPr>
          <w:rFonts w:ascii="Times New Roman" w:cs="Times New Roman" w:eastAsia="Times New Roman" w:hAnsi="Times New Roman"/>
          <w:color w:val="65757B"/>
          <w:sz w:val="20"/>
          <w:szCs w:val="20"/>
        </w:rPr>
        <w:t xml:space="preserve">09   </w:t>
      </w:r>
      <w:r>
        <w:rPr>
          <w:rFonts w:ascii="Times New Roman" w:cs="Times New Roman" w:eastAsia="Times New Roman" w:hAnsi="Times New Roman"/>
          <w:b/>
          <w:bCs/>
          <w:color w:val="17343E"/>
          <w:sz w:val="30"/>
          <w:szCs w:val="30"/>
        </w:rPr>
        <w:t xml:space="preserve">Monitoring, Reporting &amp; Transparency</w:t>
      </w:r>
    </w:p>
    <w:p>
      <w:pPr>
        <w:pStyle w:val="PolicyBody"/>
        <w:spacing w:after="150" w:line="300"/>
        <w:jc w:val="both"/>
      </w:pPr>
      <w:r>
        <w:rPr>
          <w:rFonts w:ascii="Times New Roman" w:cs="Times New Roman" w:eastAsia="Times New Roman" w:hAnsi="Times New Roman"/>
          <w:sz w:val="19"/>
          <w:szCs w:val="19"/>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15"/>
      </w:pPr>
      <w:r>
        <w:rPr>
          <w:sz w:val="2"/>
          <w:szCs w:val="2"/>
        </w:rPr>
        <w:t xml:space="preserve"> </w:t>
      </w:r>
    </w:p>
    <w:p>
      <w:pPr>
        <w:pStyle w:val="PolicyHeading"/>
        <w:pBdr>
          <w:bottom w:val="single" w:color="244B59" w:sz="4" w:space="1"/>
        </w:pBdr>
        <w:spacing w:after="180" w:before="260"/>
        <w:jc w:val="left"/>
      </w:pPr>
      <w:bookmarkStart w:name="standard-review" w:id="1"/>
      <w:bookmarkEnd w:id="1"/>
      <w:r>
        <w:rPr>
          <w:rFonts w:ascii="Times New Roman" w:cs="Times New Roman" w:eastAsia="Times New Roman" w:hAnsi="Times New Roman"/>
          <w:color w:val="65757B"/>
          <w:sz w:val="20"/>
          <w:szCs w:val="20"/>
        </w:rPr>
        <w:t xml:space="preserve">10   </w:t>
      </w:r>
      <w:r>
        <w:rPr>
          <w:rFonts w:ascii="Times New Roman" w:cs="Times New Roman" w:eastAsia="Times New Roman" w:hAnsi="Times New Roman"/>
          <w:b/>
          <w:bCs/>
          <w:color w:val="17343E"/>
          <w:sz w:val="30"/>
          <w:szCs w:val="30"/>
        </w:rPr>
        <w:t xml:space="preserve">Review Mechanism &amp; Continuous Improvement</w:t>
      </w:r>
    </w:p>
    <w:p>
      <w:pPr>
        <w:pStyle w:val="PolicyBody"/>
        <w:spacing w:after="150" w:line="300"/>
        <w:jc w:val="both"/>
      </w:pPr>
      <w:r>
        <w:rPr>
          <w:rFonts w:ascii="Times New Roman" w:cs="Times New Roman" w:eastAsia="Times New Roman" w:hAnsi="Times New Roman"/>
          <w:sz w:val="19"/>
          <w:szCs w:val="19"/>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15"/>
      </w:pPr>
      <w:r>
        <w:rPr>
          <w:sz w:val="2"/>
          <w:szCs w:val="2"/>
        </w:rPr>
        <w:t xml:space="preserve"> </w:t>
      </w:r>
    </w:p>
    <w:p>
      <w:pPr>
        <w:spacing w:before="100"/>
      </w:pPr>
      <w:r>
        <w:rPr>
          <w:sz w:val="2"/>
          <w:szCs w:val="2"/>
        </w:rPr>
        <w:t xml:space="preserve"> </w:t>
      </w:r>
    </w:p>
    <w:p>
      <w:pPr>
        <w:spacing w:after="120" w:before="160"/>
      </w:pPr>
      <w:r>
        <w:rPr>
          <w:rFonts w:ascii="Times New Roman" w:cs="Times New Roman" w:eastAsia="Times New Roman" w:hAnsi="Times New Roman"/>
          <w:b/>
          <w:bCs/>
          <w:color w:val="17343E"/>
        </w:rPr>
        <w:t xml:space="preserve">Approved by: </w:t>
      </w:r>
      <w:r>
        <w:rPr>
          <w:rFonts w:ascii="Times New Roman" w:cs="Times New Roman" w:eastAsia="Times New Roman" w:hAnsi="Times New Roman"/>
        </w:rPr>
        <w:t xml:space="preserve">Managing Director</w:t>
      </w:r>
    </w:p>
    <w:p>
      <w:r>
        <w:br w:type="page"/>
      </w:r>
    </w:p>
    <w:p>
      <w:pPr>
        <w:spacing w:after="180"/>
        <w:jc w:val="left"/>
      </w:pPr>
      <w:bookmarkStart w:name="acknowledgement" w:id="1"/>
      <w:bookmarkEnd w:id="1"/>
      <w:r>
        <w:rPr>
          <w:rFonts w:ascii="Times New Roman" w:cs="Times New Roman" w:eastAsia="Times New Roman" w:hAnsi="Times New Roman"/>
          <w:b/>
          <w:bCs/>
          <w:i w:val="false"/>
          <w:iCs w:val="false"/>
          <w:color w:val="17343E"/>
          <w:sz w:val="36"/>
          <w:szCs w:val="36"/>
        </w:rPr>
        <w:t xml:space="preserve">Employee Acknowledgement Form</w:t>
      </w:r>
    </w:p>
    <w:p>
      <w:pPr>
        <w:spacing w:after="260" w:line="300"/>
        <w:jc w:val="both"/>
      </w:pPr>
      <w:r>
        <w:rPr>
          <w:rFonts w:ascii="Times New Roman" w:cs="Times New Roman" w:eastAsia="Times New Roman" w:hAnsi="Times New Roman"/>
          <w:sz w:val="19"/>
          <w:szCs w:val="19"/>
        </w:rPr>
        <w:t xml:space="preserve">I acknowledge that I have read and understood the Environmental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EMPLOYEE NAME</w:t>
            </w:r>
          </w:p>
          <w:p>
            <w:pPr>
              <w:pBdr>
                <w:bottom w:val="single" w:color="6575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EMPLOYEE ID</w:t>
            </w:r>
          </w:p>
          <w:p>
            <w:pPr>
              <w:pBdr>
                <w:bottom w:val="single" w:color="6575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DEPARTMENT</w:t>
            </w:r>
          </w:p>
          <w:p>
            <w:pPr>
              <w:pBdr>
                <w:bottom w:val="single" w:color="6575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DATE</w:t>
            </w:r>
          </w:p>
          <w:p>
            <w:pPr>
              <w:pBdr>
                <w:bottom w:val="single" w:color="6575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SIGNATURE</w:t>
            </w:r>
          </w:p>
          <w:p>
            <w:pPr>
              <w:pBdr>
                <w:bottom w:val="single" w:color="65757B"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DE1" w:sz="5" w:space="1"/>
      </w:pBdr>
      <w:spacing w:before="80"/>
      <w:jc w:val="left"/>
    </w:pPr>
    <w:r>
      <w:rPr>
        <w:rFonts w:ascii="Times New Roman" w:cs="Times New Roman" w:eastAsia="Times New Roman" w:hAnsi="Times New Roman"/>
        <w:i w:val="false"/>
        <w:iCs w:val="false"/>
        <w:color w:val="65757B"/>
        <w:sz w:val="14"/>
        <w:szCs w:val="14"/>
      </w:rPr>
      <w:t xml:space="preserve">Effective 2025-01-15   -   Revision 01   -   Page </w:t>
    </w:r>
    <w:r>
      <w:rPr>
        <w:rFonts w:ascii="Times New Roman" w:cs="Times New Roman" w:eastAsia="Times New Roman" w:hAnsi="Times New Roman"/>
        <w:color w:val="65757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CFDDE1" w:sz="5" w:space="1"/>
      </w:pBdr>
      <w:spacing w:after="60"/>
      <w:jc w:val="left"/>
    </w:pPr>
    <w:r>
      <w:rPr>
        <w:rFonts w:ascii="Times New Roman" w:cs="Times New Roman" w:eastAsia="Times New Roman" w:hAnsi="Times New Roman"/>
        <w:b/>
        <w:bCs/>
        <w:color w:val="65757B"/>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00"/>
        <w:ind w:left="420" w:hanging="220"/>
      </w:pPr>
      <w:rPr>
        <w:rFonts w:ascii="Times New Roman" w:cs="Times New Roman" w:eastAsia="Times New Roman" w:hAnsi="Times New Roman"/>
        <w:color w:val="244B59"/>
      </w:rPr>
    </w:lvl>
  </w:abstractNum>
  <w:abstractNum w:abstractNumId="3" w15:restartNumberingAfterBreak="0">
    <w:multiLevelType w:val="hybridMultilevel"/>
    <w:lvl w:ilvl="0" w15:tentative="1">
      <w:start w:val="1"/>
      <w:numFmt w:val="decimal"/>
      <w:lvlText w:val="%1."/>
      <w:lvlJc w:val="left"/>
      <w:pPr>
        <w:spacing w:after="90" w:line="300"/>
        <w:ind w:left="420" w:hanging="220"/>
      </w:pPr>
      <w:rPr>
        <w:rFonts w:ascii="Times New Roman" w:cs="Times New Roman" w:eastAsia="Times New Roman" w:hAnsi="Times New Roman"/>
        <w:b/>
        <w:bCs/>
        <w:color w:val="244B5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8262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48" w:before="246"/>
    </w:pPr>
    <w:rPr>
      <w:rFonts w:ascii="Times New Roman" w:cs="Times New Roman" w:eastAsia="Times New Roman" w:hAnsi="Times New Roman"/>
      <w:b/>
      <w:bCs/>
      <w:color w:val="17343E"/>
      <w:sz w:val="30"/>
      <w:szCs w:val="30"/>
    </w:rPr>
  </w:style>
  <w:style w:type="paragraph" w:styleId="PolicyBody">
    <w:name w:val="Policy Body"/>
    <w:basedOn w:val="Normal"/>
    <w:next w:val="PolicyBody"/>
    <w:qFormat/>
    <w:pPr>
      <w:spacing w:after="123" w:line="300"/>
    </w:pPr>
    <w:rPr>
      <w:rFonts w:ascii="Times New Roman" w:cs="Times New Roman" w:eastAsia="Times New Roman" w:hAnsi="Times New Roman"/>
      <w:color w:val="18262C"/>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a7b93468b0213b0c9c6806e2a4baf773ad15b15.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6a7b93468b0213b0c9c6806e2a4baf773ad15b15.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 - Acme Specialty Chemicals Pvt. Ltd.</dc:title>
  <dc:creator>PolicyCraft</dc:creator>
  <cp:lastModifiedBy>Un-named</cp:lastModifiedBy>
  <cp:revision>1</cp:revision>
  <dcterms:created xsi:type="dcterms:W3CDTF">2026-09-08T05:40:14.441Z</dcterms:created>
  <dcterms:modified xsi:type="dcterms:W3CDTF">2026-09-08T05:40:14.442Z</dcterms:modified>
</cp:coreProperties>
</file>

<file path=docProps/custom.xml><?xml version="1.0" encoding="utf-8"?>
<Properties xmlns="http://schemas.openxmlformats.org/officeDocument/2006/custom-properties" xmlns:vt="http://schemas.openxmlformats.org/officeDocument/2006/docPropsVTypes"/>
</file>