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left"/>
      </w:pPr>
      <w:r>
        <w:rPr>
          <w:rFonts w:ascii="Times New Roman" w:cs="Times New Roman" w:eastAsia="Times New Roman" w:hAnsi="Times New Roman"/>
          <w:color w:val="65757B"/>
          <w:sz w:val="25"/>
          <w:szCs w:val="25"/>
        </w:rPr>
        <w:t xml:space="preserve">Acme Specialty Chemicals Pvt. Ltd.</w:t>
      </w:r>
    </w:p>
    <w:p>
      <w:pPr>
        <w:spacing w:before="2041"/>
      </w:pPr>
      <w:r>
        <w:rPr>
          <w:sz w:val="2"/>
          <w:szCs w:val="2"/>
        </w:rPr>
        <w:t xml:space="preserve"> </w:t>
      </w:r>
    </w:p>
    <w:p>
      <w:pPr>
        <w:pBdr>
          <w:bottom w:val="single" w:color="244B59" w:sz="6" w:space="1"/>
        </w:pBdr>
        <w:spacing w:after="360"/>
      </w:pPr>
    </w:p>
    <w:p>
      <w:pPr>
        <w:spacing w:after="140"/>
        <w:jc w:val="left"/>
      </w:pPr>
      <w:r>
        <w:rPr>
          <w:rFonts w:ascii="Times New Roman" w:cs="Times New Roman" w:eastAsia="Times New Roman" w:hAnsi="Times New Roman"/>
          <w:b/>
          <w:bCs/>
          <w:color w:val="17343E"/>
          <w:sz w:val="60"/>
          <w:szCs w:val="60"/>
        </w:rPr>
        <w:t xml:space="preserve">Labour &amp; Human Rights Policy</w:t>
      </w:r>
    </w:p>
    <w:p>
      <w:pPr>
        <w:spacing w:before="900"/>
      </w:pPr>
      <w:r>
        <w:rPr>
          <w:sz w:val="2"/>
          <w:szCs w:val="2"/>
        </w:rPr>
        <w:t xml:space="preserve"> </w:t>
      </w:r>
    </w:p>
    <w:p>
      <w:pPr>
        <w:pBdr>
          <w:top w:val="single" w:color="CFDDE1" w:sz="4" w:space="1"/>
        </w:pBdr>
        <w:spacing w:after="220"/>
      </w:pP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9412"/>
      </w:tblGrid>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DOCUMENT NO.</w:t>
            </w:r>
          </w:p>
          <w:p>
            <w:pPr>
              <w:spacing w:after="180"/>
            </w:pPr>
            <w:r>
              <w:rPr>
                <w:rFonts w:ascii="Times New Roman" w:cs="Times New Roman" w:eastAsia="Times New Roman" w:hAnsi="Times New Roman"/>
                <w:color w:val="65757B"/>
                <w:sz w:val="20"/>
                <w:szCs w:val="20"/>
              </w:rPr>
              <w:t xml:space="preserve">ASC-ENV-001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EFFECTIVE DATE</w:t>
            </w:r>
          </w:p>
          <w:p>
            <w:pPr>
              <w:spacing w:after="180"/>
            </w:pPr>
            <w:r>
              <w:rPr>
                <w:rFonts w:ascii="Times New Roman" w:cs="Times New Roman" w:eastAsia="Times New Roman" w:hAnsi="Times New Roman"/>
                <w:color w:val="65757B"/>
                <w:sz w:val="20"/>
                <w:szCs w:val="20"/>
              </w:rPr>
              <w:t xml:space="preserve">2025-01-15</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REVISION</w:t>
            </w:r>
          </w:p>
          <w:p>
            <w:pPr>
              <w:spacing w:after="180"/>
            </w:pPr>
            <w:r>
              <w:rPr>
                <w:rFonts w:ascii="Times New Roman" w:cs="Times New Roman" w:eastAsia="Times New Roman" w:hAnsi="Times New Roman"/>
                <w:color w:val="65757B"/>
                <w:sz w:val="20"/>
                <w:szCs w:val="20"/>
              </w:rPr>
              <w:t xml:space="preserve">01</w:t>
            </w:r>
          </w:p>
        </w:tc>
      </w:tr>
      <w:tr>
        <w:trPr>
          <w:cantSplit/>
        </w:trPr>
        <w:tc>
          <w:tcPr>
            <w:tcW w:type="dxa" w:w="9412"/>
            <w:tcMar>
              <w:top w:type="dxa" w:w="120"/>
              <w:left w:type="dxa" w:w="120"/>
              <w:bottom w:type="dxa" w:w="120"/>
              <w:right w:type="dxa" w:w="120"/>
            </w:tcMar>
            <w:vAlign w:val="center"/>
          </w:tcPr>
          <w:p>
            <w:pPr>
              <w:spacing w:after="80"/>
            </w:pPr>
            <w:r>
              <w:rPr>
                <w:rFonts w:ascii="Times New Roman" w:cs="Times New Roman" w:eastAsia="Times New Roman" w:hAnsi="Times New Roman"/>
                <w:color w:val="65757B"/>
                <w:sz w:val="15"/>
                <w:szCs w:val="15"/>
              </w:rPr>
              <w:t xml:space="preserve">NEXT REVIEW</w:t>
            </w:r>
          </w:p>
          <w:p>
            <w:pPr>
              <w:spacing w:after="180"/>
            </w:pPr>
            <w:r>
              <w:rPr>
                <w:rFonts w:ascii="Times New Roman" w:cs="Times New Roman" w:eastAsia="Times New Roman" w:hAnsi="Times New Roman"/>
                <w:color w:val="65757B"/>
                <w:sz w:val="20"/>
                <w:szCs w:val="20"/>
              </w:rPr>
              <w:t xml:space="preserve">2027-01-14</w:t>
            </w:r>
          </w:p>
        </w:tc>
      </w:tr>
    </w:tbl>
    <w:p>
      <w:r>
        <w:br w:type="page"/>
      </w:r>
    </w:p>
    <w:p>
      <w:pPr>
        <w:pStyle w:val="PolicyHeading"/>
        <w:spacing w:after="360"/>
        <w:jc w:val="left"/>
      </w:pPr>
      <w:r>
        <w:t xml:space="preserve">Contents</w:t>
      </w:r>
    </w:p>
    <w:p>
      <w:pPr>
        <w:pBdr>
          <w:bottom w:val="dotted" w:color="CFDDE1" w:sz="3" w:space="1"/>
        </w:pBdr>
        <w:spacing w:after="95" w:before="60"/>
      </w:pPr>
      <w:hyperlink w:history="1" w:anchor="standard-preface">
        <w:r>
          <w:rPr>
            <w:rFonts w:ascii="Times New Roman" w:cs="Times New Roman" w:eastAsia="Times New Roman" w:hAnsi="Times New Roman"/>
            <w:b/>
            <w:bCs/>
            <w:color w:val="244B59"/>
            <w:sz w:val="20"/>
            <w:szCs w:val="20"/>
          </w:rPr>
          <w:t xml:space="preserve">01   </w:t>
        </w:r>
        <w:r>
          <w:rPr>
            <w:rFonts w:ascii="Times New Roman" w:cs="Times New Roman" w:eastAsia="Times New Roman" w:hAnsi="Times New Roman"/>
            <w:color w:val="17343E"/>
            <w:sz w:val="20"/>
            <w:szCs w:val="20"/>
          </w:rPr>
          <w:t xml:space="preserve">Preface</w:t>
        </w:r>
      </w:hyperlink>
    </w:p>
    <w:p>
      <w:pPr>
        <w:pBdr>
          <w:bottom w:val="dotted" w:color="CFDDE1" w:sz="3" w:space="1"/>
        </w:pBdr>
        <w:spacing w:after="95" w:before="60"/>
      </w:pPr>
      <w:hyperlink w:history="1" w:anchor="standard-declaration">
        <w:r>
          <w:rPr>
            <w:rFonts w:ascii="Times New Roman" w:cs="Times New Roman" w:eastAsia="Times New Roman" w:hAnsi="Times New Roman"/>
            <w:b/>
            <w:bCs/>
            <w:color w:val="244B59"/>
            <w:sz w:val="20"/>
            <w:szCs w:val="20"/>
          </w:rPr>
          <w:t xml:space="preserve">02   </w:t>
        </w:r>
        <w:r>
          <w:rPr>
            <w:rFonts w:ascii="Times New Roman" w:cs="Times New Roman" w:eastAsia="Times New Roman" w:hAnsi="Times New Roman"/>
            <w:color w:val="17343E"/>
            <w:sz w:val="20"/>
            <w:szCs w:val="20"/>
          </w:rPr>
          <w:t xml:space="preserve">Policy Declaration</w:t>
        </w:r>
      </w:hyperlink>
    </w:p>
    <w:p>
      <w:pPr>
        <w:pBdr>
          <w:bottom w:val="dotted" w:color="CFDDE1" w:sz="3" w:space="1"/>
        </w:pBdr>
        <w:spacing w:after="95" w:before="60"/>
      </w:pPr>
      <w:hyperlink w:history="1" w:anchor="standard-scope">
        <w:r>
          <w:rPr>
            <w:rFonts w:ascii="Times New Roman" w:cs="Times New Roman" w:eastAsia="Times New Roman" w:hAnsi="Times New Roman"/>
            <w:b/>
            <w:bCs/>
            <w:color w:val="244B59"/>
            <w:sz w:val="20"/>
            <w:szCs w:val="20"/>
          </w:rPr>
          <w:t xml:space="preserve">03   </w:t>
        </w:r>
        <w:r>
          <w:rPr>
            <w:rFonts w:ascii="Times New Roman" w:cs="Times New Roman" w:eastAsia="Times New Roman" w:hAnsi="Times New Roman"/>
            <w:color w:val="17343E"/>
            <w:sz w:val="20"/>
            <w:szCs w:val="20"/>
          </w:rPr>
          <w:t xml:space="preserve">Scope</w:t>
        </w:r>
      </w:hyperlink>
    </w:p>
    <w:p>
      <w:pPr>
        <w:pBdr>
          <w:bottom w:val="dotted" w:color="CFDDE1" w:sz="3" w:space="1"/>
        </w:pBdr>
        <w:spacing w:after="95" w:before="60"/>
      </w:pPr>
      <w:hyperlink w:history="1" w:anchor="standard-focus">
        <w:r>
          <w:rPr>
            <w:rFonts w:ascii="Times New Roman" w:cs="Times New Roman" w:eastAsia="Times New Roman" w:hAnsi="Times New Roman"/>
            <w:b/>
            <w:bCs/>
            <w:color w:val="244B59"/>
            <w:sz w:val="20"/>
            <w:szCs w:val="20"/>
          </w:rPr>
          <w:t xml:space="preserve">04   </w:t>
        </w:r>
        <w:r>
          <w:rPr>
            <w:rFonts w:ascii="Times New Roman" w:cs="Times New Roman" w:eastAsia="Times New Roman" w:hAnsi="Times New Roman"/>
            <w:color w:val="17343E"/>
            <w:sz w:val="20"/>
            <w:szCs w:val="20"/>
          </w:rPr>
          <w:t xml:space="preserve">Key Focus Areas</w:t>
        </w:r>
      </w:hyperlink>
    </w:p>
    <w:p>
      <w:pPr>
        <w:pBdr>
          <w:bottom w:val="dotted" w:color="CFDDE1" w:sz="3" w:space="1"/>
        </w:pBdr>
        <w:spacing w:after="95" w:before="60"/>
      </w:pPr>
      <w:hyperlink w:history="1" w:anchor="standard-qualitative">
        <w:r>
          <w:rPr>
            <w:rFonts w:ascii="Times New Roman" w:cs="Times New Roman" w:eastAsia="Times New Roman" w:hAnsi="Times New Roman"/>
            <w:b/>
            <w:bCs/>
            <w:color w:val="244B59"/>
            <w:sz w:val="20"/>
            <w:szCs w:val="20"/>
          </w:rPr>
          <w:t xml:space="preserve">05   </w:t>
        </w:r>
        <w:r>
          <w:rPr>
            <w:rFonts w:ascii="Times New Roman" w:cs="Times New Roman" w:eastAsia="Times New Roman" w:hAnsi="Times New Roman"/>
            <w:color w:val="17343E"/>
            <w:sz w:val="20"/>
            <w:szCs w:val="20"/>
          </w:rPr>
          <w:t xml:space="preserve">Qualitative Objectives</w:t>
        </w:r>
      </w:hyperlink>
    </w:p>
    <w:p>
      <w:pPr>
        <w:pBdr>
          <w:bottom w:val="dotted" w:color="CFDDE1" w:sz="3" w:space="1"/>
        </w:pBdr>
        <w:spacing w:after="95" w:before="60"/>
      </w:pPr>
      <w:hyperlink w:history="1" w:anchor="standard-quantitative">
        <w:r>
          <w:rPr>
            <w:rFonts w:ascii="Times New Roman" w:cs="Times New Roman" w:eastAsia="Times New Roman" w:hAnsi="Times New Roman"/>
            <w:b/>
            <w:bCs/>
            <w:color w:val="244B59"/>
            <w:sz w:val="20"/>
            <w:szCs w:val="20"/>
          </w:rPr>
          <w:t xml:space="preserve">06   </w:t>
        </w:r>
        <w:r>
          <w:rPr>
            <w:rFonts w:ascii="Times New Roman" w:cs="Times New Roman" w:eastAsia="Times New Roman" w:hAnsi="Times New Roman"/>
            <w:color w:val="17343E"/>
            <w:sz w:val="20"/>
            <w:szCs w:val="20"/>
          </w:rPr>
          <w:t xml:space="preserve">Quantitative Targets</w:t>
        </w:r>
      </w:hyperlink>
    </w:p>
    <w:p>
      <w:pPr>
        <w:pBdr>
          <w:bottom w:val="dotted" w:color="CFDDE1" w:sz="3" w:space="1"/>
        </w:pBdr>
        <w:spacing w:after="95" w:before="60"/>
      </w:pPr>
      <w:hyperlink w:history="1" w:anchor="standard-sdg">
        <w:r>
          <w:rPr>
            <w:rFonts w:ascii="Times New Roman" w:cs="Times New Roman" w:eastAsia="Times New Roman" w:hAnsi="Times New Roman"/>
            <w:b/>
            <w:bCs/>
            <w:color w:val="244B59"/>
            <w:sz w:val="20"/>
            <w:szCs w:val="20"/>
          </w:rPr>
          <w:t xml:space="preserve">07   </w:t>
        </w:r>
        <w:r>
          <w:rPr>
            <w:rFonts w:ascii="Times New Roman" w:cs="Times New Roman" w:eastAsia="Times New Roman" w:hAnsi="Times New Roman"/>
            <w:color w:val="17343E"/>
            <w:sz w:val="20"/>
            <w:szCs w:val="20"/>
          </w:rPr>
          <w:t xml:space="preserve">SDG Alignment</w:t>
        </w:r>
      </w:hyperlink>
    </w:p>
    <w:p>
      <w:pPr>
        <w:pBdr>
          <w:bottom w:val="dotted" w:color="CFDDE1" w:sz="3" w:space="1"/>
        </w:pBdr>
        <w:spacing w:after="95" w:before="60"/>
      </w:pPr>
      <w:hyperlink w:history="1" w:anchor="standard-responsibilities">
        <w:r>
          <w:rPr>
            <w:rFonts w:ascii="Times New Roman" w:cs="Times New Roman" w:eastAsia="Times New Roman" w:hAnsi="Times New Roman"/>
            <w:b/>
            <w:bCs/>
            <w:color w:val="244B59"/>
            <w:sz w:val="20"/>
            <w:szCs w:val="20"/>
          </w:rPr>
          <w:t xml:space="preserve">08   </w:t>
        </w:r>
        <w:r>
          <w:rPr>
            <w:rFonts w:ascii="Times New Roman" w:cs="Times New Roman" w:eastAsia="Times New Roman" w:hAnsi="Times New Roman"/>
            <w:color w:val="17343E"/>
            <w:sz w:val="20"/>
            <w:szCs w:val="20"/>
          </w:rPr>
          <w:t xml:space="preserve">Roles &amp; Responsibilities</w:t>
        </w:r>
      </w:hyperlink>
    </w:p>
    <w:p>
      <w:pPr>
        <w:pBdr>
          <w:bottom w:val="dotted" w:color="CFDDE1" w:sz="3" w:space="1"/>
        </w:pBdr>
        <w:spacing w:after="95" w:before="60"/>
      </w:pPr>
      <w:hyperlink w:history="1" w:anchor="standard-monitoring">
        <w:r>
          <w:rPr>
            <w:rFonts w:ascii="Times New Roman" w:cs="Times New Roman" w:eastAsia="Times New Roman" w:hAnsi="Times New Roman"/>
            <w:b/>
            <w:bCs/>
            <w:color w:val="244B59"/>
            <w:sz w:val="20"/>
            <w:szCs w:val="20"/>
          </w:rPr>
          <w:t xml:space="preserve">09   </w:t>
        </w:r>
        <w:r>
          <w:rPr>
            <w:rFonts w:ascii="Times New Roman" w:cs="Times New Roman" w:eastAsia="Times New Roman" w:hAnsi="Times New Roman"/>
            <w:color w:val="17343E"/>
            <w:sz w:val="20"/>
            <w:szCs w:val="20"/>
          </w:rPr>
          <w:t xml:space="preserve">Monitoring, Reporting &amp; Transparency</w:t>
        </w:r>
      </w:hyperlink>
    </w:p>
    <w:p>
      <w:pPr>
        <w:pBdr>
          <w:bottom w:val="dotted" w:color="CFDDE1" w:sz="3" w:space="1"/>
        </w:pBdr>
        <w:spacing w:after="95" w:before="60"/>
      </w:pPr>
      <w:hyperlink w:history="1" w:anchor="standard-review">
        <w:r>
          <w:rPr>
            <w:rFonts w:ascii="Times New Roman" w:cs="Times New Roman" w:eastAsia="Times New Roman" w:hAnsi="Times New Roman"/>
            <w:b/>
            <w:bCs/>
            <w:color w:val="244B59"/>
            <w:sz w:val="20"/>
            <w:szCs w:val="20"/>
          </w:rPr>
          <w:t xml:space="preserve">10   </w:t>
        </w:r>
        <w:r>
          <w:rPr>
            <w:rFonts w:ascii="Times New Roman" w:cs="Times New Roman" w:eastAsia="Times New Roman" w:hAnsi="Times New Roman"/>
            <w:color w:val="17343E"/>
            <w:sz w:val="20"/>
            <w:szCs w:val="20"/>
          </w:rPr>
          <w:t xml:space="preserve">Review Mechanism &amp; Continuous Improvement</w:t>
        </w:r>
      </w:hyperlink>
    </w:p>
    <w:p>
      <w:r>
        <w:br w:type="page"/>
      </w:r>
    </w:p>
    <w:p>
      <w:pPr>
        <w:pStyle w:val="PolicyHeading"/>
        <w:pBdr>
          <w:bottom w:val="single" w:color="244B59" w:sz="4" w:space="1"/>
        </w:pBdr>
        <w:spacing w:after="180" w:before="260"/>
        <w:jc w:val="left"/>
      </w:pPr>
      <w:bookmarkStart w:name="standard-preface" w:id="1"/>
      <w:bookmarkEnd w:id="1"/>
      <w:r>
        <w:rPr>
          <w:rFonts w:ascii="Times New Roman" w:cs="Times New Roman" w:eastAsia="Times New Roman" w:hAnsi="Times New Roman"/>
          <w:color w:val="65757B"/>
          <w:sz w:val="20"/>
          <w:szCs w:val="20"/>
        </w:rPr>
        <w:t xml:space="preserve">01   </w:t>
      </w:r>
      <w:r>
        <w:rPr>
          <w:rFonts w:ascii="Times New Roman" w:cs="Times New Roman" w:eastAsia="Times New Roman" w:hAnsi="Times New Roman"/>
          <w:b/>
          <w:bCs/>
          <w:color w:val="17343E"/>
          <w:sz w:val="30"/>
          <w:szCs w:val="30"/>
        </w:rPr>
        <w:t xml:space="preserve">Preface</w:t>
      </w:r>
    </w:p>
    <w:p>
      <w:pPr>
        <w:pStyle w:val="PolicyBody"/>
        <w:spacing w:after="150" w:line="300"/>
        <w:jc w:val="both"/>
      </w:pPr>
      <w:r>
        <w:rPr>
          <w:rFonts w:ascii="Times New Roman" w:cs="Times New Roman" w:eastAsia="Times New Roman" w:hAnsi="Times New Roman"/>
          <w:sz w:val="19"/>
          <w:szCs w:val="19"/>
        </w:rPr>
        <w:t xml:space="preserve">Labour &amp; Human Rights Policy provides a consistent framework for Acme Specialty Chemicals Pvt. Ltd. to define responsibilities, make decisions, and review performance across its activities and locations.</w:t>
      </w:r>
    </w:p>
    <w:p>
      <w:pPr>
        <w:spacing w:before="115"/>
      </w:pPr>
      <w:r>
        <w:rPr>
          <w:sz w:val="2"/>
          <w:szCs w:val="2"/>
        </w:rPr>
        <w:t xml:space="preserve"> </w:t>
      </w:r>
    </w:p>
    <w:p>
      <w:pPr>
        <w:pStyle w:val="PolicyHeading"/>
        <w:pBdr>
          <w:bottom w:val="single" w:color="244B59" w:sz="4" w:space="1"/>
        </w:pBdr>
        <w:spacing w:after="180" w:before="260"/>
        <w:jc w:val="left"/>
      </w:pPr>
      <w:bookmarkStart w:name="standard-declaration" w:id="1"/>
      <w:bookmarkEnd w:id="1"/>
      <w:r>
        <w:rPr>
          <w:rFonts w:ascii="Times New Roman" w:cs="Times New Roman" w:eastAsia="Times New Roman" w:hAnsi="Times New Roman"/>
          <w:color w:val="65757B"/>
          <w:sz w:val="20"/>
          <w:szCs w:val="20"/>
        </w:rPr>
        <w:t xml:space="preserve">02   </w:t>
      </w:r>
      <w:r>
        <w:rPr>
          <w:rFonts w:ascii="Times New Roman" w:cs="Times New Roman" w:eastAsia="Times New Roman" w:hAnsi="Times New Roman"/>
          <w:b/>
          <w:bCs/>
          <w:color w:val="17343E"/>
          <w:sz w:val="30"/>
          <w:szCs w:val="30"/>
        </w:rPr>
        <w:t xml:space="preserve">Policy Declaration</w:t>
      </w:r>
    </w:p>
    <w:p>
      <w:pPr>
        <w:pStyle w:val="PolicyBody"/>
        <w:spacing w:after="150" w:line="300"/>
        <w:jc w:val="both"/>
      </w:pPr>
      <w:r>
        <w:rPr>
          <w:rFonts w:ascii="Times New Roman" w:cs="Times New Roman" w:eastAsia="Times New Roman" w:hAnsi="Times New Roman"/>
          <w:sz w:val="19"/>
          <w:szCs w:val="19"/>
        </w:rPr>
        <w:t xml:space="preserve">Acme Specialty Chemicals affirms its commitment to implementing this Labour &amp; Human Rights Policy in line with applicable requirements, proportionate controls, and regular management review.</w:t>
      </w:r>
    </w:p>
    <w:p>
      <w:pPr>
        <w:spacing w:before="115"/>
      </w:pPr>
      <w:r>
        <w:rPr>
          <w:sz w:val="2"/>
          <w:szCs w:val="2"/>
        </w:rPr>
        <w:t xml:space="preserve"> </w:t>
      </w:r>
    </w:p>
    <w:p>
      <w:pPr>
        <w:pStyle w:val="PolicyHeading"/>
        <w:pBdr>
          <w:bottom w:val="single" w:color="244B59" w:sz="4" w:space="1"/>
        </w:pBdr>
        <w:spacing w:after="180" w:before="260"/>
        <w:jc w:val="left"/>
      </w:pPr>
      <w:bookmarkStart w:name="standard-scope" w:id="1"/>
      <w:bookmarkEnd w:id="1"/>
      <w:r>
        <w:rPr>
          <w:rFonts w:ascii="Times New Roman" w:cs="Times New Roman" w:eastAsia="Times New Roman" w:hAnsi="Times New Roman"/>
          <w:color w:val="65757B"/>
          <w:sz w:val="20"/>
          <w:szCs w:val="20"/>
        </w:rPr>
        <w:t xml:space="preserve">03   </w:t>
      </w:r>
      <w:r>
        <w:rPr>
          <w:rFonts w:ascii="Times New Roman" w:cs="Times New Roman" w:eastAsia="Times New Roman" w:hAnsi="Times New Roman"/>
          <w:b/>
          <w:bCs/>
          <w:color w:val="17343E"/>
          <w:sz w:val="30"/>
          <w:szCs w:val="30"/>
        </w:rPr>
        <w:t xml:space="preserve">Scope</w:t>
      </w:r>
    </w:p>
    <w:p>
      <w:pPr>
        <w:pStyle w:val="PolicyBody"/>
        <w:spacing w:after="150" w:line="300"/>
        <w:jc w:val="both"/>
      </w:pPr>
      <w:r>
        <w:rPr>
          <w:rFonts w:ascii="Times New Roman" w:cs="Times New Roman" w:eastAsia="Times New Roman" w:hAnsi="Times New Roman"/>
          <w:sz w:val="19"/>
          <w:szCs w:val="19"/>
        </w:rPr>
        <w:t xml:space="preserve">This Labour &amp; Human Rights Policy applies to the operations, workers, business relationships, and locations identified by Acme Specialty Chemicals Pvt. Ltd., including manufacturing, R&amp;D, warehousing, logistics, and corporate functions.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280"/>
        <w:gridCol w:w="4750"/>
        <w:gridCol w:w="2382"/>
      </w:tblGrid>
      <w:tr>
        <w:trPr>
          <w:cantSplit/>
          <w:tblHeader/>
        </w:trPr>
        <w:tc>
          <w:tcPr>
            <w:tcW w:type="dxa" w:w="228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Location / Unit</w:t>
            </w:r>
          </w:p>
        </w:tc>
        <w:tc>
          <w:tcPr>
            <w:tcW w:type="dxa" w:w="47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Address</w:t>
            </w:r>
          </w:p>
        </w:tc>
        <w:tc>
          <w:tcPr>
            <w:tcW w:type="dxa" w:w="238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Primary Function</w:t>
            </w:r>
          </w:p>
        </w:tc>
      </w:tr>
      <w:tr>
        <w:trPr>
          <w:cantSplit/>
        </w:trPr>
        <w:tc>
          <w:tcPr>
            <w:tcW w:type="dxa" w:w="228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Manesar Plant</w:t>
            </w:r>
          </w:p>
        </w:tc>
        <w:tc>
          <w:tcPr>
            <w:tcW w:type="dxa" w:w="47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Plot 14, Sector 4, IMT Manesar, Gurugram - 122051, Haryana, India</w:t>
            </w:r>
          </w:p>
        </w:tc>
        <w:tc>
          <w:tcPr>
            <w:tcW w:type="dxa" w:w="238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Manufacturing &amp; R&amp;D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focus" w:id="1"/>
      <w:bookmarkEnd w:id="1"/>
      <w:r>
        <w:rPr>
          <w:rFonts w:ascii="Times New Roman" w:cs="Times New Roman" w:eastAsia="Times New Roman" w:hAnsi="Times New Roman"/>
          <w:color w:val="65757B"/>
          <w:sz w:val="20"/>
          <w:szCs w:val="20"/>
        </w:rPr>
        <w:t xml:space="preserve">04   </w:t>
      </w:r>
      <w:r>
        <w:rPr>
          <w:rFonts w:ascii="Times New Roman" w:cs="Times New Roman" w:eastAsia="Times New Roman" w:hAnsi="Times New Roman"/>
          <w:b/>
          <w:bCs/>
          <w:color w:val="17343E"/>
          <w:sz w:val="30"/>
          <w:szCs w:val="30"/>
        </w:rPr>
        <w:t xml:space="preserve">Key Focus Areas</w:t>
      </w:r>
    </w:p>
    <w:tbl>
      <w:tblPr>
        <w:tblW w:type="dxa" w:w="925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CellSpacing w:type="dxa" w:w="80"/>
      </w:tblPr>
      <w:tblGrid>
        <w:gridCol w:w="4626"/>
        <w:gridCol w:w="4626"/>
      </w:tblGrid>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01</w:t>
            </w:r>
            <w:r>
              <w:rPr>
                <w:rFonts w:ascii="Times New Roman" w:cs="Times New Roman" w:eastAsia="Times New Roman" w:hAnsi="Times New Roman"/>
                <w:b/>
                <w:bCs/>
                <w:color w:val="18262C"/>
                <w:sz w:val="24"/>
                <w:szCs w:val="24"/>
              </w:rPr>
              <w:t xml:space="preserve">  Occupational Health &amp; Safety</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02</w:t>
            </w:r>
            <w:r>
              <w:rPr>
                <w:rFonts w:ascii="Times New Roman" w:cs="Times New Roman" w:eastAsia="Times New Roman" w:hAnsi="Times New Roman"/>
                <w:b/>
                <w:bCs/>
                <w:color w:val="18262C"/>
                <w:sz w:val="24"/>
                <w:szCs w:val="24"/>
              </w:rPr>
              <w:t xml:space="preserve">  Fair Working Conditions, Hours &amp; Benefits</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03</w:t>
            </w:r>
            <w:r>
              <w:rPr>
                <w:rFonts w:ascii="Times New Roman" w:cs="Times New Roman" w:eastAsia="Times New Roman" w:hAnsi="Times New Roman"/>
                <w:b/>
                <w:bCs/>
                <w:color w:val="18262C"/>
                <w:sz w:val="24"/>
                <w:szCs w:val="24"/>
              </w:rPr>
              <w:t xml:space="preserve">  Social Dialogue &amp; Freedom of Association</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04</w:t>
            </w:r>
            <w:r>
              <w:rPr>
                <w:rFonts w:ascii="Times New Roman" w:cs="Times New Roman" w:eastAsia="Times New Roman" w:hAnsi="Times New Roman"/>
                <w:b/>
                <w:bCs/>
                <w:color w:val="18262C"/>
                <w:sz w:val="24"/>
                <w:szCs w:val="24"/>
              </w:rPr>
              <w:t xml:space="preserve">  Career Development &amp; Training</w:t>
            </w:r>
          </w:p>
        </w:tc>
      </w:tr>
      <w:tr>
        <w:trPr>
          <w:cantSplit/>
        </w:trPr>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pPr>
              <w:spacing w:after="70"/>
            </w:pPr>
            <w:r>
              <w:rPr>
                <w:rFonts w:ascii="Times New Roman" w:cs="Times New Roman" w:eastAsia="Times New Roman" w:hAnsi="Times New Roman"/>
                <w:color w:val="244B59"/>
                <w:sz w:val="30"/>
                <w:szCs w:val="30"/>
              </w:rPr>
              <w:t xml:space="preserve">05</w:t>
            </w:r>
            <w:r>
              <w:rPr>
                <w:rFonts w:ascii="Times New Roman" w:cs="Times New Roman" w:eastAsia="Times New Roman" w:hAnsi="Times New Roman"/>
                <w:b/>
                <w:bCs/>
                <w:color w:val="18262C"/>
                <w:sz w:val="24"/>
                <w:szCs w:val="24"/>
              </w:rPr>
              <w:t xml:space="preserve">  Child Labour, Forced Labour &amp; Modern Slavery</w:t>
            </w:r>
          </w:p>
        </w:tc>
        <w:tc>
          <w:tcPr>
            <w:tcW w:type="dxa" w:w="4626"/>
            <w:tcBorders>
              <w:top w:val="none" w:color="FFFFFF" w:sz="0" w:space="1"/>
              <w:left w:val="none" w:color="FFFFFF" w:sz="0" w:space="1"/>
              <w:bottom w:val="none" w:color="FFFFFF" w:sz="0" w:space="1"/>
              <w:right w:val="none" w:color="FFFFFF" w:sz="0" w:space="1"/>
            </w:tcBorders>
            <w:shd w:fill="E8F0F2" w:color="E8F0F2" w:val="solid"/>
            <w:tcMar>
              <w:top w:type="dxa" w:w="150"/>
              <w:left w:type="dxa" w:w="170"/>
              <w:bottom w:type="dxa" w:w="150"/>
              <w:right w:type="dxa" w:w="170"/>
            </w:tcMar>
            <w:vAlign w:val="center"/>
          </w:tcPr>
          <w:p>
            <w:r>
              <w:t xml:space="preserve"/>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qualitative" w:id="1"/>
      <w:bookmarkEnd w:id="1"/>
      <w:r>
        <w:rPr>
          <w:rFonts w:ascii="Times New Roman" w:cs="Times New Roman" w:eastAsia="Times New Roman" w:hAnsi="Times New Roman"/>
          <w:color w:val="65757B"/>
          <w:sz w:val="20"/>
          <w:szCs w:val="20"/>
        </w:rPr>
        <w:t xml:space="preserve">05   </w:t>
      </w:r>
      <w:r>
        <w:rPr>
          <w:rFonts w:ascii="Times New Roman" w:cs="Times New Roman" w:eastAsia="Times New Roman" w:hAnsi="Times New Roman"/>
          <w:b/>
          <w:bCs/>
          <w:color w:val="17343E"/>
          <w:sz w:val="30"/>
          <w:szCs w:val="30"/>
        </w:rPr>
        <w:t xml:space="preserve">Qualitative Objectives</w:t>
      </w:r>
    </w:p>
    <w:p>
      <w:pPr>
        <w:spacing w:after="90"/>
      </w:pPr>
      <w:r>
        <w:rPr>
          <w:rFonts w:ascii="Times New Roman" w:cs="Times New Roman" w:eastAsia="Times New Roman" w:hAnsi="Times New Roman"/>
          <w:b/>
          <w:bCs/>
          <w:color w:val="244B59"/>
          <w:sz w:val="18"/>
          <w:szCs w:val="18"/>
        </w:rPr>
        <w:t xml:space="preserve">01  </w:t>
      </w:r>
      <w:r>
        <w:rPr>
          <w:rFonts w:ascii="Times New Roman" w:cs="Times New Roman" w:eastAsia="Times New Roman" w:hAnsi="Times New Roman"/>
          <w:b/>
          <w:bCs/>
          <w:color w:val="17343E"/>
          <w:sz w:val="24"/>
          <w:szCs w:val="24"/>
        </w:rPr>
        <w:t xml:space="preserve">Occupational Health &amp; Safety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occupational health &amp; safety.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occupational health &amp; safety.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occupational health &amp; safety.</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02  </w:t>
      </w:r>
      <w:r>
        <w:rPr>
          <w:rFonts w:ascii="Times New Roman" w:cs="Times New Roman" w:eastAsia="Times New Roman" w:hAnsi="Times New Roman"/>
          <w:b/>
          <w:bCs/>
          <w:color w:val="17343E"/>
          <w:sz w:val="24"/>
          <w:szCs w:val="24"/>
        </w:rPr>
        <w:t xml:space="preserve">Fair Working Conditions, Hours &amp; Benefits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fair working conditions, hours &amp; benefits.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fair working conditions, hours &amp; benefits.</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fair working conditions, hours &amp; benefits.</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03  </w:t>
      </w:r>
      <w:r>
        <w:rPr>
          <w:rFonts w:ascii="Times New Roman" w:cs="Times New Roman" w:eastAsia="Times New Roman" w:hAnsi="Times New Roman"/>
          <w:b/>
          <w:bCs/>
          <w:color w:val="17343E"/>
          <w:sz w:val="24"/>
          <w:szCs w:val="24"/>
        </w:rPr>
        <w:t xml:space="preserve">Social Dialogue &amp; Freedom of Association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social dialogue &amp; freedom of association.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social dialogue &amp; freedom of association.</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social dialogue &amp; freedom of association.</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04  </w:t>
      </w:r>
      <w:r>
        <w:rPr>
          <w:rFonts w:ascii="Times New Roman" w:cs="Times New Roman" w:eastAsia="Times New Roman" w:hAnsi="Times New Roman"/>
          <w:b/>
          <w:bCs/>
          <w:color w:val="17343E"/>
          <w:sz w:val="24"/>
          <w:szCs w:val="24"/>
        </w:rPr>
        <w:t xml:space="preserve">Career Development &amp; Training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career development &amp; training.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career development &amp; training.</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career development &amp; training.</w:t>
      </w:r>
    </w:p>
    <w:p>
      <w:pPr>
        <w:spacing w:before="70"/>
      </w:pPr>
      <w:r>
        <w:rPr>
          <w:sz w:val="2"/>
          <w:szCs w:val="2"/>
        </w:rPr>
        <w:t xml:space="preserve"> </w:t>
      </w:r>
    </w:p>
    <w:p>
      <w:pPr>
        <w:spacing w:after="90"/>
      </w:pPr>
      <w:r>
        <w:rPr>
          <w:rFonts w:ascii="Times New Roman" w:cs="Times New Roman" w:eastAsia="Times New Roman" w:hAnsi="Times New Roman"/>
          <w:b/>
          <w:bCs/>
          <w:color w:val="244B59"/>
          <w:sz w:val="18"/>
          <w:szCs w:val="18"/>
        </w:rPr>
        <w:t xml:space="preserve">05  </w:t>
      </w:r>
      <w:r>
        <w:rPr>
          <w:rFonts w:ascii="Times New Roman" w:cs="Times New Roman" w:eastAsia="Times New Roman" w:hAnsi="Times New Roman"/>
          <w:b/>
          <w:bCs/>
          <w:color w:val="17343E"/>
          <w:sz w:val="24"/>
          <w:szCs w:val="24"/>
        </w:rPr>
        <w:t xml:space="preserve">Child Labour, Forced Labour &amp; Modern Slavery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Assign accountable ownership and approved procedures for child labour, forced labour &amp; modern slavery.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Identify material risks and improvement opportunities related to child labour, forced labour &amp; modern slavery.</w:t>
      </w:r>
    </w:p>
    <w:p>
      <w:pPr>
        <w:pStyle w:val="PolicyBody"/>
        <w:numPr>
          <w:ilvl w:val="0"/>
          <w:numId w:val="2"/>
        </w:numPr>
        <w:spacing w:after="90" w:line="300"/>
      </w:pPr>
      <w:r>
        <w:rPr>
          <w:rFonts w:ascii="Times New Roman" w:cs="Times New Roman" w:eastAsia="Times New Roman" w:hAnsi="Times New Roman"/>
          <w:color w:val="18262C"/>
          <w:sz w:val="19"/>
          <w:szCs w:val="19"/>
        </w:rPr>
        <w:t xml:space="preserve">Define measures, evidence sources and review frequency for child labour, forced labour &amp; modern slavery.</w:t>
      </w:r>
    </w:p>
    <w:p>
      <w:pPr>
        <w:spacing w:before="70"/>
      </w:pPr>
      <w:r>
        <w:rPr>
          <w:sz w:val="2"/>
          <w:szCs w:val="2"/>
        </w:rPr>
        <w:t xml:space="preserve"> </w:t>
      </w:r>
    </w:p>
    <w:p>
      <w:pPr>
        <w:spacing w:before="115"/>
      </w:pPr>
      <w:r>
        <w:rPr>
          <w:sz w:val="2"/>
          <w:szCs w:val="2"/>
        </w:rPr>
        <w:t xml:space="preserve"> </w:t>
      </w:r>
    </w:p>
    <w:p>
      <w:pPr>
        <w:pStyle w:val="PolicyHeading"/>
        <w:pBdr>
          <w:bottom w:val="single" w:color="244B59" w:sz="4" w:space="1"/>
        </w:pBdr>
        <w:spacing w:after="180" w:before="260"/>
        <w:jc w:val="left"/>
      </w:pPr>
      <w:bookmarkStart w:name="standard-quantitative" w:id="1"/>
      <w:bookmarkEnd w:id="1"/>
      <w:r>
        <w:rPr>
          <w:rFonts w:ascii="Times New Roman" w:cs="Times New Roman" w:eastAsia="Times New Roman" w:hAnsi="Times New Roman"/>
          <w:color w:val="65757B"/>
          <w:sz w:val="20"/>
          <w:szCs w:val="20"/>
        </w:rPr>
        <w:t xml:space="preserve">06   </w:t>
      </w:r>
      <w:r>
        <w:rPr>
          <w:rFonts w:ascii="Times New Roman" w:cs="Times New Roman" w:eastAsia="Times New Roman" w:hAnsi="Times New Roman"/>
          <w:b/>
          <w:bCs/>
          <w:color w:val="17343E"/>
          <w:sz w:val="30"/>
          <w:szCs w:val="30"/>
        </w:rPr>
        <w:t xml:space="preserve">Quantitative Targets</w:t>
      </w:r>
    </w:p>
    <w:p>
      <w:pPr>
        <w:spacing w:after="120"/>
      </w:pPr>
      <w:r>
        <w:rPr>
          <w:rFonts w:ascii="Times New Roman" w:cs="Times New Roman" w:eastAsia="Times New Roman" w:hAnsi="Times New Roman"/>
          <w:i/>
          <w:iCs/>
          <w:color w:val="65757B"/>
          <w:sz w:val="17"/>
          <w:szCs w:val="17"/>
        </w:rPr>
        <w:t xml:space="preserve">Targets are tracked against a defined period or reported annually as ongoing commitments.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27"/>
        <w:gridCol w:w="1710"/>
        <w:gridCol w:w="3135"/>
        <w:gridCol w:w="1187"/>
        <w:gridCol w:w="1187"/>
        <w:gridCol w:w="1766"/>
      </w:tblGrid>
      <w:tr>
        <w:trPr>
          <w:cantSplit/>
          <w:tblHeader/>
        </w:trPr>
        <w:tc>
          <w:tcPr>
            <w:tcW w:type="dxa" w:w="42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w:t>
            </w:r>
          </w:p>
        </w:tc>
        <w:tc>
          <w:tcPr>
            <w:tcW w:type="dxa" w:w="171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Focus Area</w:t>
            </w:r>
          </w:p>
        </w:tc>
        <w:tc>
          <w:tcPr>
            <w:tcW w:type="dxa" w:w="3135"/>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Target</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Baseline</w:t>
            </w:r>
          </w:p>
        </w:tc>
        <w:tc>
          <w:tcPr>
            <w:tcW w:type="dxa" w:w="1187"/>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Deadline</w:t>
            </w:r>
          </w:p>
        </w:tc>
        <w:tc>
          <w:tcPr>
            <w:tcW w:type="dxa" w:w="1766"/>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Reporting</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1</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Occupational Health &amp; Safety</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occupational health &amp; safety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2</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Fair Working Conditions, Hours &amp; Benefits</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fair working conditions, hours &amp; benefits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r>
        <w:trPr>
          <w:cantSplit/>
        </w:trPr>
        <w:tc>
          <w:tcPr>
            <w:tcW w:type="dxa" w:w="42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3</w:t>
            </w:r>
          </w:p>
        </w:tc>
        <w:tc>
          <w:tcPr>
            <w:tcW w:type="dxa" w:w="171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Social Dialogue &amp; Freedom of Association</w:t>
            </w:r>
          </w:p>
        </w:tc>
        <w:tc>
          <w:tcPr>
            <w:tcW w:type="dxa" w:w="3135"/>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Achieve the approved social dialogue &amp; freedom of association target</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2024-25</w:t>
            </w:r>
          </w:p>
        </w:tc>
        <w:tc>
          <w:tcPr>
            <w:tcW w:type="dxa" w:w="1187"/>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FY 2028-29</w:t>
            </w:r>
          </w:p>
        </w:tc>
        <w:tc>
          <w:tcPr>
            <w:tcW w:type="dxa" w:w="1766"/>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Target period</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sdg" w:id="1"/>
      <w:bookmarkEnd w:id="1"/>
      <w:r>
        <w:rPr>
          <w:rFonts w:ascii="Times New Roman" w:cs="Times New Roman" w:eastAsia="Times New Roman" w:hAnsi="Times New Roman"/>
          <w:color w:val="65757B"/>
          <w:sz w:val="20"/>
          <w:szCs w:val="20"/>
        </w:rPr>
        <w:t xml:space="preserve">07   </w:t>
      </w:r>
      <w:r>
        <w:rPr>
          <w:rFonts w:ascii="Times New Roman" w:cs="Times New Roman" w:eastAsia="Times New Roman" w:hAnsi="Times New Roman"/>
          <w:b/>
          <w:bCs/>
          <w:color w:val="17343E"/>
          <w:sz w:val="30"/>
          <w:szCs w:val="30"/>
        </w:rPr>
        <w:t xml:space="preserve">SDG Alignment</w:t>
      </w:r>
    </w:p>
    <w:p>
      <w:pPr>
        <w:spacing w:after="130"/>
      </w:pPr>
      <w:r>
        <w:rPr>
          <w:rFonts w:ascii="Times New Roman" w:cs="Times New Roman" w:eastAsia="Times New Roman" w:hAnsi="Times New Roman"/>
        </w:rPr>
        <w:t xml:space="preserve">This policy aligns with the following United Nations Sustainable Development Goals: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4C9F38" w:color="4C9F38" w:val="solid"/>
            <w:tcMar>
              <w:top w:type="dxa" w:w="120"/>
              <w:left w:type="dxa" w:w="120"/>
              <w:bottom w:type="dxa" w:w="120"/>
              <w:right w:type="dxa" w:w="120"/>
            </w:tcMar>
            <w:vAlign w:val="center"/>
          </w:tcPr>
          <w:p>
            <w:pPr>
              <w:jc w:val="center"/>
            </w:pPr>
            <w:r>
              <w:rPr>
                <w:b/>
                <w:bCs/>
                <w:color w:val="FFFFFF"/>
                <w:sz w:val="17"/>
                <w:szCs w:val="17"/>
              </w:rPr>
              <w:t xml:space="preserve">SDG 3</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4C9F38"/>
                <w:sz w:val="19"/>
                <w:szCs w:val="19"/>
              </w:rPr>
              <w:t xml:space="preserve">Good Health</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C5192D" w:color="C5192D" w:val="solid"/>
            <w:tcMar>
              <w:top w:type="dxa" w:w="120"/>
              <w:left w:type="dxa" w:w="120"/>
              <w:bottom w:type="dxa" w:w="120"/>
              <w:right w:type="dxa" w:w="120"/>
            </w:tcMar>
            <w:vAlign w:val="center"/>
          </w:tcPr>
          <w:p>
            <w:pPr>
              <w:jc w:val="center"/>
            </w:pPr>
            <w:r>
              <w:rPr>
                <w:b/>
                <w:bCs/>
                <w:color w:val="FFFFFF"/>
                <w:sz w:val="17"/>
                <w:szCs w:val="17"/>
              </w:rPr>
              <w:t xml:space="preserve">SDG 4</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C5192D"/>
                <w:sz w:val="19"/>
                <w:szCs w:val="19"/>
              </w:rPr>
              <w:t xml:space="preserve">Quality Education</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FF3A21" w:color="FF3A21" w:val="solid"/>
            <w:tcMar>
              <w:top w:type="dxa" w:w="120"/>
              <w:left w:type="dxa" w:w="120"/>
              <w:bottom w:type="dxa" w:w="120"/>
              <w:right w:type="dxa" w:w="120"/>
            </w:tcMar>
            <w:vAlign w:val="center"/>
          </w:tcPr>
          <w:p>
            <w:pPr>
              <w:jc w:val="center"/>
            </w:pPr>
            <w:r>
              <w:rPr>
                <w:b/>
                <w:bCs/>
                <w:color w:val="FFFFFF"/>
                <w:sz w:val="17"/>
                <w:szCs w:val="17"/>
              </w:rPr>
              <w:t xml:space="preserve">SDG 5</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FF3A21"/>
                <w:sz w:val="19"/>
                <w:szCs w:val="19"/>
              </w:rPr>
              <w:t xml:space="preserve">Gender Equality</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A21942" w:color="A21942" w:val="solid"/>
            <w:tcMar>
              <w:top w:type="dxa" w:w="120"/>
              <w:left w:type="dxa" w:w="120"/>
              <w:bottom w:type="dxa" w:w="120"/>
              <w:right w:type="dxa" w:w="120"/>
            </w:tcMar>
            <w:vAlign w:val="center"/>
          </w:tcPr>
          <w:p>
            <w:pPr>
              <w:jc w:val="center"/>
            </w:pPr>
            <w:r>
              <w:rPr>
                <w:b/>
                <w:bCs/>
                <w:color w:val="FFFFFF"/>
                <w:sz w:val="17"/>
                <w:szCs w:val="17"/>
              </w:rPr>
              <w:t xml:space="preserve">SDG 8</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A21942"/>
                <w:sz w:val="19"/>
                <w:szCs w:val="19"/>
              </w:rPr>
              <w:t xml:space="preserve">Decent Work</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DD1367" w:color="DD1367" w:val="solid"/>
            <w:tcMar>
              <w:top w:type="dxa" w:w="120"/>
              <w:left w:type="dxa" w:w="120"/>
              <w:bottom w:type="dxa" w:w="120"/>
              <w:right w:type="dxa" w:w="120"/>
            </w:tcMar>
            <w:vAlign w:val="center"/>
          </w:tcPr>
          <w:p>
            <w:pPr>
              <w:jc w:val="center"/>
            </w:pPr>
            <w:r>
              <w:rPr>
                <w:b/>
                <w:bCs/>
                <w:color w:val="FFFFFF"/>
                <w:sz w:val="17"/>
                <w:szCs w:val="17"/>
              </w:rPr>
              <w:t xml:space="preserve">SDG 10</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DD1367"/>
                <w:sz w:val="19"/>
                <w:szCs w:val="19"/>
              </w:rPr>
              <w:t xml:space="preserve">Reduced Inequalities</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00689D" w:color="00689D" w:val="solid"/>
            <w:tcMar>
              <w:top w:type="dxa" w:w="120"/>
              <w:left w:type="dxa" w:w="120"/>
              <w:bottom w:type="dxa" w:w="120"/>
              <w:right w:type="dxa" w:w="120"/>
            </w:tcMar>
            <w:vAlign w:val="center"/>
          </w:tcPr>
          <w:p>
            <w:pPr>
              <w:jc w:val="center"/>
            </w:pPr>
            <w:r>
              <w:rPr>
                <w:b/>
                <w:bCs/>
                <w:color w:val="FFFFFF"/>
                <w:sz w:val="17"/>
                <w:szCs w:val="17"/>
              </w:rPr>
              <w:t xml:space="preserve">SDG 16</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00689D"/>
                <w:sz w:val="19"/>
                <w:szCs w:val="19"/>
              </w:rPr>
              <w:t xml:space="preserve">Peace &amp; Justice</w:t>
            </w:r>
          </w:p>
        </w:tc>
      </w:tr>
    </w:tbl>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1400"/>
        <w:gridCol w:w="8012"/>
      </w:tblGrid>
      <w:tr>
        <w:tc>
          <w:tcPr>
            <w:tcW w:type="dxa" w:w="1400"/>
            <w:shd w:fill="19486A" w:color="19486A" w:val="solid"/>
            <w:tcMar>
              <w:top w:type="dxa" w:w="120"/>
              <w:left w:type="dxa" w:w="120"/>
              <w:bottom w:type="dxa" w:w="120"/>
              <w:right w:type="dxa" w:w="120"/>
            </w:tcMar>
            <w:vAlign w:val="center"/>
          </w:tcPr>
          <w:p>
            <w:pPr>
              <w:jc w:val="center"/>
            </w:pPr>
            <w:r>
              <w:rPr>
                <w:b/>
                <w:bCs/>
                <w:color w:val="FFFFFF"/>
                <w:sz w:val="17"/>
                <w:szCs w:val="17"/>
              </w:rPr>
              <w:t xml:space="preserve">SDG 17</w:t>
            </w:r>
          </w:p>
        </w:tc>
        <w:tc>
          <w:tcPr>
            <w:tcW w:type="dxa" w:w="8012"/>
            <w:tcMar>
              <w:top w:type="dxa" w:w="120"/>
              <w:left w:type="dxa" w:w="120"/>
              <w:bottom w:type="dxa" w:w="120"/>
              <w:right w:type="dxa" w:w="120"/>
            </w:tcMar>
            <w:vAlign w:val="center"/>
          </w:tcPr>
          <w:p>
            <w:r>
              <w:rPr>
                <w:rFonts w:ascii="Times New Roman" w:cs="Times New Roman" w:eastAsia="Times New Roman" w:hAnsi="Times New Roman"/>
                <w:b/>
                <w:bCs/>
                <w:color w:val="19486A"/>
                <w:sz w:val="19"/>
                <w:szCs w:val="19"/>
              </w:rPr>
              <w:t xml:space="preserve">Partnerships</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responsibilities" w:id="1"/>
      <w:bookmarkEnd w:id="1"/>
      <w:r>
        <w:rPr>
          <w:rFonts w:ascii="Times New Roman" w:cs="Times New Roman" w:eastAsia="Times New Roman" w:hAnsi="Times New Roman"/>
          <w:color w:val="65757B"/>
          <w:sz w:val="20"/>
          <w:szCs w:val="20"/>
        </w:rPr>
        <w:t xml:space="preserve">08   </w:t>
      </w:r>
      <w:r>
        <w:rPr>
          <w:rFonts w:ascii="Times New Roman" w:cs="Times New Roman" w:eastAsia="Times New Roman" w:hAnsi="Times New Roman"/>
          <w:b/>
          <w:bCs/>
          <w:color w:val="17343E"/>
          <w:sz w:val="30"/>
          <w:szCs w:val="30"/>
        </w:rPr>
        <w:t xml:space="preserve">Roles &amp; Responsibilities</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2850"/>
        <w:gridCol w:w="6562"/>
      </w:tblGrid>
      <w:tr>
        <w:trPr>
          <w:cantSplit/>
          <w:tblHeader/>
        </w:trPr>
        <w:tc>
          <w:tcPr>
            <w:tcW w:type="dxa" w:w="2850"/>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Role / Department</w:t>
            </w:r>
          </w:p>
        </w:tc>
        <w:tc>
          <w:tcPr>
            <w:tcW w:type="dxa" w:w="6562"/>
            <w:tcBorders>
              <w:top w:val="single" w:color="CFDDE1" w:sz="5" w:space="1"/>
              <w:left w:val="single" w:color="CFDDE1" w:sz="5" w:space="1"/>
              <w:bottom w:val="single" w:color="CFDDE1" w:sz="5" w:space="1"/>
              <w:right w:val="single" w:color="CFDDE1" w:sz="5" w:space="1"/>
            </w:tcBorders>
            <w:shd w:fill="244B59" w:color="244B59" w:val="solid"/>
            <w:tcMar>
              <w:top w:type="dxa" w:w="120"/>
              <w:left w:type="dxa" w:w="120"/>
              <w:bottom w:type="dxa" w:w="120"/>
              <w:right w:type="dxa" w:w="120"/>
            </w:tcMar>
            <w:vAlign w:val="center"/>
          </w:tcPr>
          <w:p>
            <w:r>
              <w:rPr>
                <w:b/>
                <w:bCs/>
                <w:color w:val="FFFFFF"/>
                <w:sz w:val="17"/>
                <w:szCs w:val="17"/>
              </w:rPr>
              <w:t xml:space="preserve">Responsibility</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Board &amp; Senior Management</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Approve the policy, allocate resources, and review labour and human-rights performance.</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Human Resources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Implement fair employment practices, maintain grievance channels, and track workforce commitments.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EHS &amp; Operations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Maintain safe working conditions, address hazards, and ensure worker training and participation.</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Procurement &amp; Supply Chain</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Apply human-rights due diligence to suppliers, contractors, and service providers.</w:t>
            </w:r>
          </w:p>
        </w:tc>
      </w:tr>
      <w:tr>
        <w:trPr>
          <w:cantSplit/>
        </w:trPr>
        <w:tc>
          <w:tcPr>
            <w:tcW w:type="dxa" w:w="2850"/>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bCs/>
                <w:sz w:val="17"/>
                <w:szCs w:val="17"/>
              </w:rPr>
              <w:t xml:space="preserve">All Employees</w:t>
            </w:r>
          </w:p>
        </w:tc>
        <w:tc>
          <w:tcPr>
            <w:tcW w:type="dxa" w:w="6562"/>
            <w:tcBorders>
              <w:top w:val="single" w:color="CFDDE1" w:sz="5" w:space="1"/>
              <w:left w:val="single" w:color="CFDDE1" w:sz="5" w:space="1"/>
              <w:bottom w:val="single" w:color="CFDDE1" w:sz="5" w:space="1"/>
              <w:right w:val="single" w:color="CFDDE1" w:sz="5" w:space="1"/>
            </w:tcBorders>
            <w:tcMar>
              <w:top w:type="dxa" w:w="120"/>
              <w:left w:type="dxa" w:w="120"/>
              <w:bottom w:type="dxa" w:w="120"/>
              <w:right w:type="dxa" w:w="120"/>
            </w:tcMar>
            <w:vAlign w:val="center"/>
          </w:tcPr>
          <w:p>
            <w:r>
              <w:rPr>
                <w:b w:val="false"/>
                <w:bCs w:val="false"/>
                <w:sz w:val="17"/>
                <w:szCs w:val="17"/>
              </w:rPr>
              <w:t xml:space="preserve">Treat colleagues with dignity, report concerns without retaliation, and uphold this policy.</w:t>
            </w:r>
          </w:p>
        </w:tc>
      </w:tr>
    </w:tbl>
    <w:p>
      <w:pPr>
        <w:spacing w:before="115"/>
      </w:pPr>
      <w:r>
        <w:rPr>
          <w:sz w:val="2"/>
          <w:szCs w:val="2"/>
        </w:rPr>
        <w:t xml:space="preserve"> </w:t>
      </w:r>
    </w:p>
    <w:p>
      <w:pPr>
        <w:pStyle w:val="PolicyHeading"/>
        <w:pBdr>
          <w:bottom w:val="single" w:color="244B59" w:sz="4" w:space="1"/>
        </w:pBdr>
        <w:spacing w:after="180" w:before="260"/>
        <w:jc w:val="left"/>
      </w:pPr>
      <w:bookmarkStart w:name="standard-monitoring" w:id="1"/>
      <w:bookmarkEnd w:id="1"/>
      <w:r>
        <w:rPr>
          <w:rFonts w:ascii="Times New Roman" w:cs="Times New Roman" w:eastAsia="Times New Roman" w:hAnsi="Times New Roman"/>
          <w:color w:val="65757B"/>
          <w:sz w:val="20"/>
          <w:szCs w:val="20"/>
        </w:rPr>
        <w:t xml:space="preserve">09   </w:t>
      </w:r>
      <w:r>
        <w:rPr>
          <w:rFonts w:ascii="Times New Roman" w:cs="Times New Roman" w:eastAsia="Times New Roman" w:hAnsi="Times New Roman"/>
          <w:b/>
          <w:bCs/>
          <w:color w:val="17343E"/>
          <w:sz w:val="30"/>
          <w:szCs w:val="30"/>
        </w:rPr>
        <w:t xml:space="preserve">Monitoring, Reporting &amp; Transparency</w:t>
      </w:r>
    </w:p>
    <w:p>
      <w:pPr>
        <w:pStyle w:val="PolicyBody"/>
        <w:spacing w:after="150" w:line="300"/>
        <w:jc w:val="both"/>
      </w:pPr>
      <w:r>
        <w:rPr>
          <w:rFonts w:ascii="Times New Roman" w:cs="Times New Roman" w:eastAsia="Times New Roman" w:hAnsi="Times New Roman"/>
          <w:sz w:val="19"/>
          <w:szCs w:val="19"/>
        </w:rPr>
        <w:t xml:space="preserve">Environmental performance is monitored continuously through a centralized EHS dashboard, with KPIs reviewed monthly by site leadership and quarterly by the Executive Committee. Independent third-party audits are conducted annually for ISO 14001 and as required by customers. Findings, progress against targets, and incidents are reported in the annual Sustainability Report prepared in line with GRI Standards and BRSR.</w:t>
      </w:r>
    </w:p>
    <w:p>
      <w:pPr>
        <w:spacing w:before="115"/>
      </w:pPr>
      <w:r>
        <w:rPr>
          <w:sz w:val="2"/>
          <w:szCs w:val="2"/>
        </w:rPr>
        <w:t xml:space="preserve"> </w:t>
      </w:r>
    </w:p>
    <w:p>
      <w:pPr>
        <w:pStyle w:val="PolicyHeading"/>
        <w:pBdr>
          <w:bottom w:val="single" w:color="244B59" w:sz="4" w:space="1"/>
        </w:pBdr>
        <w:spacing w:after="180" w:before="260"/>
        <w:jc w:val="left"/>
      </w:pPr>
      <w:bookmarkStart w:name="standard-review" w:id="1"/>
      <w:bookmarkEnd w:id="1"/>
      <w:r>
        <w:rPr>
          <w:rFonts w:ascii="Times New Roman" w:cs="Times New Roman" w:eastAsia="Times New Roman" w:hAnsi="Times New Roman"/>
          <w:color w:val="65757B"/>
          <w:sz w:val="20"/>
          <w:szCs w:val="20"/>
        </w:rPr>
        <w:t xml:space="preserve">10   </w:t>
      </w:r>
      <w:r>
        <w:rPr>
          <w:rFonts w:ascii="Times New Roman" w:cs="Times New Roman" w:eastAsia="Times New Roman" w:hAnsi="Times New Roman"/>
          <w:b/>
          <w:bCs/>
          <w:color w:val="17343E"/>
          <w:sz w:val="30"/>
          <w:szCs w:val="30"/>
        </w:rPr>
        <w:t xml:space="preserve">Review Mechanism &amp; Continuous Improvement</w:t>
      </w:r>
    </w:p>
    <w:p>
      <w:pPr>
        <w:pStyle w:val="PolicyBody"/>
        <w:spacing w:after="150" w:line="300"/>
        <w:jc w:val="both"/>
      </w:pPr>
      <w:r>
        <w:rPr>
          <w:rFonts w:ascii="Times New Roman" w:cs="Times New Roman" w:eastAsia="Times New Roman" w:hAnsi="Times New Roman"/>
          <w:sz w:val="19"/>
          <w:szCs w:val="19"/>
        </w:rPr>
        <w:t xml:space="preserve">This Policy is reviewed every two years or earlier if there are significant changes in operations, regulations, or stakeholder expectations. The EHS team initiates the review, the Executive Committee approves revisions, and updated versions are communicated to all employees and relevant stakeholders. Feedback collected through employee engagement, customer audits and investor dialogues is incorporated into each revision.</w:t>
      </w:r>
    </w:p>
    <w:p>
      <w:pPr>
        <w:spacing w:before="115"/>
      </w:pPr>
      <w:r>
        <w:rPr>
          <w:sz w:val="2"/>
          <w:szCs w:val="2"/>
        </w:rPr>
        <w:t xml:space="preserve"> </w:t>
      </w:r>
    </w:p>
    <w:p>
      <w:pPr>
        <w:spacing w:before="100"/>
      </w:pPr>
      <w:r>
        <w:rPr>
          <w:sz w:val="2"/>
          <w:szCs w:val="2"/>
        </w:rPr>
        <w:t xml:space="preserve"> </w:t>
      </w:r>
    </w:p>
    <w:p>
      <w:pPr>
        <w:spacing w:after="120" w:before="160"/>
      </w:pPr>
      <w:r>
        <w:rPr>
          <w:rFonts w:ascii="Times New Roman" w:cs="Times New Roman" w:eastAsia="Times New Roman" w:hAnsi="Times New Roman"/>
          <w:b/>
          <w:bCs/>
          <w:color w:val="17343E"/>
        </w:rPr>
        <w:t xml:space="preserve">Approved by: </w:t>
      </w:r>
      <w:r>
        <w:rPr>
          <w:rFonts w:ascii="Times New Roman" w:cs="Times New Roman" w:eastAsia="Times New Roman" w:hAnsi="Times New Roman"/>
        </w:rPr>
        <w:t xml:space="preserve">Managing Director</w:t>
      </w:r>
    </w:p>
    <w:p>
      <w:r>
        <w:br w:type="page"/>
      </w:r>
    </w:p>
    <w:p>
      <w:pPr>
        <w:spacing w:after="180"/>
        <w:jc w:val="left"/>
      </w:pPr>
      <w:bookmarkStart w:name="acknowledgement" w:id="1"/>
      <w:bookmarkEnd w:id="1"/>
      <w:r>
        <w:rPr>
          <w:rFonts w:ascii="Times New Roman" w:cs="Times New Roman" w:eastAsia="Times New Roman" w:hAnsi="Times New Roman"/>
          <w:b/>
          <w:bCs/>
          <w:i w:val="false"/>
          <w:iCs w:val="false"/>
          <w:color w:val="17343E"/>
          <w:sz w:val="36"/>
          <w:szCs w:val="36"/>
        </w:rPr>
        <w:t xml:space="preserve">Employee Acknowledgement Form</w:t>
      </w:r>
    </w:p>
    <w:p>
      <w:pPr>
        <w:spacing w:after="260" w:line="300"/>
        <w:jc w:val="both"/>
      </w:pPr>
      <w:r>
        <w:rPr>
          <w:rFonts w:ascii="Times New Roman" w:cs="Times New Roman" w:eastAsia="Times New Roman" w:hAnsi="Times New Roman"/>
          <w:sz w:val="19"/>
          <w:szCs w:val="19"/>
        </w:rPr>
        <w:t xml:space="preserve">I acknowledge that I have read and understood the Labour &amp; Human Rights Policy of Acme Specialty Chemicals Pvt. Ltd. and agree to uphold its commitments in my work.</w:t>
      </w:r>
    </w:p>
    <w:tbl>
      <w:tblPr>
        <w:tblW w:type="dxa" w:w="9412"/>
        <w:tblBorders>
          <w:top w:val="none" w:color="FFFFFF" w:sz="0" w:space="1"/>
          <w:left w:val="none" w:color="FFFFFF" w:sz="0" w:space="1"/>
          <w:bottom w:val="none" w:color="FFFFFF" w:sz="0" w:space="1"/>
          <w:right w:val="none" w:color="FFFFFF" w:sz="0" w:space="1"/>
          <w:insideH w:val="none" w:color="FFFFFF" w:sz="0" w:space="1"/>
          <w:insideV w:val="none" w:color="FFFFFF" w:sz="0" w:space="1"/>
        </w:tblBorders>
        <w:tblLayout w:type="fixed"/>
      </w:tblPr>
      <w:tblGrid>
        <w:gridCol w:w="4706"/>
        <w:gridCol w:w="4706"/>
      </w:tblGrid>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NAME</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EMPLOYEE ID</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DEPARTMENT</w:t>
            </w:r>
          </w:p>
          <w:p>
            <w:pPr>
              <w:pBdr>
                <w:bottom w:val="single" w:color="65757B" w:sz="6" w:space="1"/>
              </w:pBdr>
              <w:spacing w:after="170"/>
            </w:pPr>
            <w:r>
              <w:t xml:space="preserve"> </w:t>
            </w:r>
          </w:p>
        </w:tc>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DATE</w:t>
            </w:r>
          </w:p>
          <w:p>
            <w:pPr>
              <w:pBdr>
                <w:bottom w:val="single" w:color="65757B" w:sz="6" w:space="1"/>
              </w:pBdr>
              <w:spacing w:after="170"/>
            </w:pPr>
            <w:r>
              <w:t xml:space="preserve"> </w:t>
            </w:r>
          </w:p>
        </w:tc>
      </w:tr>
      <w:tr>
        <w:trPr>
          <w:cantSplit/>
        </w:trPr>
        <w:tc>
          <w:tcPr>
            <w:tcW w:type="dxa" w:w="4706"/>
            <w:tcMar>
              <w:top w:type="dxa" w:w="120"/>
              <w:left w:type="dxa" w:w="140"/>
              <w:bottom w:type="dxa" w:w="120"/>
              <w:right w:type="dxa" w:w="140"/>
            </w:tcMar>
            <w:vAlign w:val="center"/>
          </w:tcPr>
          <w:p>
            <w:pPr>
              <w:spacing w:after="100"/>
            </w:pPr>
            <w:r>
              <w:rPr>
                <w:rFonts w:ascii="Times New Roman" w:cs="Times New Roman" w:eastAsia="Times New Roman" w:hAnsi="Times New Roman"/>
                <w:b/>
                <w:bCs/>
                <w:color w:val="65757B"/>
                <w:spacing w:val="35"/>
                <w:sz w:val="14"/>
                <w:szCs w:val="14"/>
              </w:rPr>
              <w:t xml:space="preserve">SIGNATURE</w:t>
            </w:r>
          </w:p>
          <w:p>
            <w:pPr>
              <w:pBdr>
                <w:bottom w:val="single" w:color="65757B" w:sz="6" w:space="1"/>
              </w:pBdr>
              <w:spacing w:after="260"/>
            </w:pPr>
            <w:r>
              <w:t xml:space="preserve"> </w:t>
            </w:r>
          </w:p>
        </w:tc>
        <w:tc>
          <w:tcPr>
            <w:tcW w:type="dxa" w:w="4706"/>
            <w:tcMar>
              <w:top w:type="dxa" w:w="120"/>
              <w:left w:type="dxa" w:w="120"/>
              <w:bottom w:type="dxa" w:w="120"/>
              <w:right w:type="dxa" w:w="120"/>
            </w:tcMar>
            <w:vAlign w:val="center"/>
          </w:tcPr>
          <w:p>
            <w:r>
              <w:t xml:space="preserve"/>
            </w:r>
          </w:p>
        </w:tc>
      </w:tr>
    </w:tbl>
    <w:sectPr>
      <w:headerReference w:type="default" r:id="rId7"/>
      <w:headerReference w:type="first" r:id="rId8"/>
      <w:footerReference w:type="default" r:id="rId9"/>
      <w:footerReference w:type="first" r:id="rId10"/>
      <w:pgSz w:w="11906" w:h="16838" w:orient="portrait"/>
      <w:pgMar w:top="1247" w:right="1247" w:bottom="1247" w:left="124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DE1" w:sz="5" w:space="1"/>
      </w:pBdr>
      <w:spacing w:before="80"/>
      <w:jc w:val="left"/>
    </w:pPr>
    <w:r>
      <w:rPr>
        <w:rFonts w:ascii="Times New Roman" w:cs="Times New Roman" w:eastAsia="Times New Roman" w:hAnsi="Times New Roman"/>
        <w:i w:val="false"/>
        <w:iCs w:val="false"/>
        <w:color w:val="65757B"/>
        <w:sz w:val="14"/>
        <w:szCs w:val="14"/>
      </w:rPr>
      <w:t xml:space="preserve">Effective 2025-01-15   -   Revision 01   -   Page </w:t>
    </w:r>
    <w:r>
      <w:rPr>
        <w:rFonts w:ascii="Times New Roman" w:cs="Times New Roman" w:eastAsia="Times New Roman" w:hAnsi="Times New Roman"/>
        <w:color w:val="65757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p>
    <w:pPr>
      <w:pBdr>
        <w:bottom w:val="single" w:color="CFDDE1" w:sz="5" w:space="1"/>
      </w:pBdr>
      <w:spacing w:after="60"/>
      <w:jc w:val="left"/>
    </w:pPr>
    <w:r>
      <w:rPr>
        <w:rFonts w:ascii="Times New Roman" w:cs="Times New Roman" w:eastAsia="Times New Roman" w:hAnsi="Times New Roman"/>
        <w:b/>
        <w:bCs/>
        <w:color w:val="65757B"/>
        <w:spacing w:val="20"/>
        <w:sz w:val="14"/>
        <w:szCs w:val="14"/>
      </w:rPr>
      <w:t xml:space="preserve">Acme Specialty Chemicals Pvt. Ltd.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0" relativeHeight="10696575">
          <wp:simplePos x="0" y="0"/>
          <wp:positionH relativeFrom="page">
            <wp:align>center</wp:align>
          </wp:positionH>
          <wp:positionV relativeFrom="page">
            <wp:align>center</wp:align>
          </wp:positionV>
          <wp:extent cx="7562850" cy="10696575"/>
          <wp:effectExtent t="0" r="0" b="0" l="0"/>
          <wp:wrapNone/>
          <wp:docPr id="1" name="Document page background" descr="Theme-colored page background" title="Document pa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90" w:line="300"/>
        <w:ind w:left="420" w:hanging="220"/>
      </w:pPr>
      <w:rPr>
        <w:rFonts w:ascii="Times New Roman" w:cs="Times New Roman" w:eastAsia="Times New Roman" w:hAnsi="Times New Roman"/>
        <w:color w:val="244B59"/>
      </w:rPr>
    </w:lvl>
  </w:abstractNum>
  <w:abstractNum w:abstractNumId="3" w15:restartNumberingAfterBreak="0">
    <w:multiLevelType w:val="hybridMultilevel"/>
    <w:lvl w:ilvl="0" w15:tentative="1">
      <w:start w:val="1"/>
      <w:numFmt w:val="decimal"/>
      <w:lvlText w:val="%1."/>
      <w:lvlJc w:val="left"/>
      <w:pPr>
        <w:spacing w:after="90" w:line="300"/>
        <w:ind w:left="420" w:hanging="220"/>
      </w:pPr>
      <w:rPr>
        <w:rFonts w:ascii="Times New Roman" w:cs="Times New Roman" w:eastAsia="Times New Roman" w:hAnsi="Times New Roman"/>
        <w:b/>
        <w:bCs/>
        <w:color w:val="244B5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8262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olicyHeading">
    <w:name w:val="Policy Heading"/>
    <w:basedOn w:val="Normal"/>
    <w:next w:val="PolicyBody"/>
    <w:qFormat/>
    <w:pPr>
      <w:keepNext/>
      <w:spacing w:after="148" w:before="246"/>
    </w:pPr>
    <w:rPr>
      <w:rFonts w:ascii="Times New Roman" w:cs="Times New Roman" w:eastAsia="Times New Roman" w:hAnsi="Times New Roman"/>
      <w:b/>
      <w:bCs/>
      <w:color w:val="17343E"/>
      <w:sz w:val="30"/>
      <w:szCs w:val="30"/>
    </w:rPr>
  </w:style>
  <w:style w:type="paragraph" w:styleId="PolicyBody">
    <w:name w:val="Policy Body"/>
    <w:basedOn w:val="Normal"/>
    <w:next w:val="PolicyBody"/>
    <w:qFormat/>
    <w:pPr>
      <w:spacing w:after="123" w:line="300"/>
    </w:pPr>
    <w:rPr>
      <w:rFonts w:ascii="Times New Roman" w:cs="Times New Roman" w:eastAsia="Times New Roman" w:hAnsi="Times New Roman"/>
      <w:color w:val="18262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word/_rels/header2.xml.rels><?xml version="1.0" encoding="UTF-8"?><Relationships xmlns="http://schemas.openxmlformats.org/package/2006/relationships"><Relationship Id="rId0" Type="http://schemas.openxmlformats.org/officeDocument/2006/relationships/image" Target="media/6a7b93468b0213b0c9c6806e2a4baf773ad15b15.svg"/><Relationship Id="rId1" Type="http://schemas.openxmlformats.org/officeDocument/2006/relationships/image" Target="media/0dbace57ad3772199fe571a94f2bf8e23f010b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&amp; Human Rights Policy - Acme Specialty Chemicals Pvt. Ltd.</dc:title>
  <dc:creator>PolicyCraft</dc:creator>
  <cp:lastModifiedBy>Un-named</cp:lastModifiedBy>
  <cp:revision>1</cp:revision>
  <dcterms:created xsi:type="dcterms:W3CDTF">2026-09-08T05:40:17.858Z</dcterms:created>
  <dcterms:modified xsi:type="dcterms:W3CDTF">2026-09-08T05:40:17.858Z</dcterms:modified>
</cp:coreProperties>
</file>

<file path=docProps/custom.xml><?xml version="1.0" encoding="utf-8"?>
<Properties xmlns="http://schemas.openxmlformats.org/officeDocument/2006/custom-properties" xmlns:vt="http://schemas.openxmlformats.org/officeDocument/2006/docPropsVTypes"/>
</file>