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Acme Specialty Chemicals Pvt. Ltd.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Sustainable Procurement Policy</w:t>
      </w:r>
    </w:p>
    <w:p>
      <w:pPr>
        <w:spacing w:before="900"/>
      </w:pPr>
      <w:r>
        <w:rPr>
          <w:sz w:val="2"/>
          <w:szCs w:val="2"/>
        </w:rPr>
        <w:t xml:space="preserve"> </w:t>
      </w:r>
    </w:p>
    <w:p>
      <w:pPr>
        <w:pBdr>
          <w:top w:val="single" w:color="CFDDE1"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qualitative">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Qualitative Objectives</w:t>
        </w:r>
      </w:hyperlink>
    </w:p>
    <w:p>
      <w:pPr>
        <w:pBdr>
          <w:bottom w:val="dotted" w:color="CFDDE1" w:sz="3" w:space="1"/>
        </w:pBdr>
        <w:spacing w:after="95" w:before="60"/>
      </w:pPr>
      <w:hyperlink w:history="1" w:anchor="standard-quantitative">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Quantitative Targets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09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10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Supplier Code of Conduct &amp; Onboarding</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02</w:t>
            </w:r>
            <w:r>
              <w:rPr>
                <w:rFonts w:ascii="Times New Roman" w:cs="Times New Roman" w:eastAsia="Times New Roman" w:hAnsi="Times New Roman"/>
                <w:b/>
                <w:bCs/>
                <w:color w:val="18262C"/>
                <w:sz w:val="24"/>
                <w:szCs w:val="24"/>
              </w:rPr>
              <w:t xml:space="preserve">  Supplier Due Diligence &amp; Risk Assessment</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03</w:t>
            </w:r>
            <w:r>
              <w:rPr>
                <w:rFonts w:ascii="Times New Roman" w:cs="Times New Roman" w:eastAsia="Times New Roman" w:hAnsi="Times New Roman"/>
                <w:b/>
                <w:bCs/>
                <w:color w:val="18262C"/>
                <w:sz w:val="24"/>
                <w:szCs w:val="24"/>
              </w:rPr>
              <w:t xml:space="preserve">  Environmental Requirements for Suppliers</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04</w:t>
            </w:r>
            <w:r>
              <w:rPr>
                <w:rFonts w:ascii="Times New Roman" w:cs="Times New Roman" w:eastAsia="Times New Roman" w:hAnsi="Times New Roman"/>
                <w:b/>
                <w:bCs/>
                <w:color w:val="18262C"/>
                <w:sz w:val="24"/>
                <w:szCs w:val="24"/>
              </w:rPr>
              <w:t xml:space="preserve">  Ethical Sourcing &amp; Anti-Corruption</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05</w:t>
            </w:r>
            <w:r>
              <w:rPr>
                <w:rFonts w:ascii="Times New Roman" w:cs="Times New Roman" w:eastAsia="Times New Roman" w:hAnsi="Times New Roman"/>
                <w:b/>
                <w:bCs/>
                <w:color w:val="18262C"/>
                <w:sz w:val="24"/>
                <w:szCs w:val="24"/>
              </w:rPr>
              <w:t xml:space="preserve">  Labour &amp; Human Rights in Supply Chain</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qualitative"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Qualitative Objectives</w:t>
      </w:r>
    </w:p>
    <w:p>
      <w:pPr>
        <w:spacing w:after="90"/>
      </w:pPr>
      <w:r>
        <w:rPr>
          <w:rFonts w:ascii="Times New Roman" w:cs="Times New Roman" w:eastAsia="Times New Roman" w:hAnsi="Times New Roman"/>
          <w:b/>
          <w:bCs/>
          <w:color w:val="244B59"/>
          <w:sz w:val="18"/>
          <w:szCs w:val="18"/>
        </w:rPr>
        <w:t xml:space="preserve">01  </w:t>
      </w:r>
      <w:r>
        <w:rPr>
          <w:rFonts w:ascii="Times New Roman" w:cs="Times New Roman" w:eastAsia="Times New Roman" w:hAnsi="Times New Roman"/>
          <w:b/>
          <w:bCs/>
          <w:color w:val="17343E"/>
          <w:sz w:val="24"/>
          <w:szCs w:val="24"/>
        </w:rPr>
        <w:t xml:space="preserve">Supplier Code of Conduct &amp; Onboarding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supplier code of conduct &amp; onboarding.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supplier code of conduct &amp; onboarding.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02  </w:t>
      </w:r>
      <w:r>
        <w:rPr>
          <w:rFonts w:ascii="Times New Roman" w:cs="Times New Roman" w:eastAsia="Times New Roman" w:hAnsi="Times New Roman"/>
          <w:b/>
          <w:bCs/>
          <w:color w:val="17343E"/>
          <w:sz w:val="24"/>
          <w:szCs w:val="24"/>
        </w:rPr>
        <w:t xml:space="preserve">Supplier Due Diligence &amp; Risk Assessment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supplier due diligence &amp; risk assessment.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supplier due diligence &amp; risk assessment.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03  </w:t>
      </w:r>
      <w:r>
        <w:rPr>
          <w:rFonts w:ascii="Times New Roman" w:cs="Times New Roman" w:eastAsia="Times New Roman" w:hAnsi="Times New Roman"/>
          <w:b/>
          <w:bCs/>
          <w:color w:val="17343E"/>
          <w:sz w:val="24"/>
          <w:szCs w:val="24"/>
        </w:rPr>
        <w:t xml:space="preserve">Environmental Requirements for Suppliers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environmental requirements for suppliers.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environmental requirements for suppliers.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04  </w:t>
      </w:r>
      <w:r>
        <w:rPr>
          <w:rFonts w:ascii="Times New Roman" w:cs="Times New Roman" w:eastAsia="Times New Roman" w:hAnsi="Times New Roman"/>
          <w:b/>
          <w:bCs/>
          <w:color w:val="17343E"/>
          <w:sz w:val="24"/>
          <w:szCs w:val="24"/>
        </w:rPr>
        <w:t xml:space="preserve">Ethical Sourcing &amp; Anti-Corruption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ethical sourcing &amp; anti-corruption.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ethical sourcing &amp; anti-corruption.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ethical sourcing &amp; anti-corruption.</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05  </w:t>
      </w:r>
      <w:r>
        <w:rPr>
          <w:rFonts w:ascii="Times New Roman" w:cs="Times New Roman" w:eastAsia="Times New Roman" w:hAnsi="Times New Roman"/>
          <w:b/>
          <w:bCs/>
          <w:color w:val="17343E"/>
          <w:sz w:val="24"/>
          <w:szCs w:val="24"/>
        </w:rPr>
        <w:t xml:space="preserve">Labour &amp; Human Rights in Supply Chain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labour &amp; human rights in supply chain.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labour &amp; human rights in supply chain.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labour &amp; human rights in supply chain.</w:t>
      </w:r>
    </w:p>
    <w:p>
      <w:pPr>
        <w:spacing w:before="70"/>
      </w:pPr>
      <w:r>
        <w:rPr>
          <w:sz w:val="2"/>
          <w:szCs w:val="2"/>
        </w:rPr>
        <w:t xml:space="preserve"> </w:t>
      </w:r>
    </w:p>
    <w:p>
      <w:pPr>
        <w:spacing w:before="115"/>
      </w:pPr>
      <w:r>
        <w:rPr>
          <w:sz w:val="2"/>
          <w:szCs w:val="2"/>
        </w:rPr>
        <w:t xml:space="preserve"> </w:t>
      </w:r>
    </w:p>
    <w:p>
      <w:pPr>
        <w:pStyle w:val="PolicyHeading"/>
        <w:pBdr>
          <w:bottom w:val="single" w:color="244B59" w:sz="4" w:space="1"/>
        </w:pBdr>
        <w:spacing w:after="180" w:before="260"/>
        <w:jc w:val="left"/>
      </w:pPr>
      <w:bookmarkStart w:name="standard-quantitative"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Quantitative Targets</w:t>
      </w:r>
    </w:p>
    <w:p>
      <w:pPr>
        <w:spacing w:after="120"/>
      </w:pPr>
      <w:r>
        <w:rPr>
          <w:rFonts w:ascii="Times New Roman" w:cs="Times New Roman" w:eastAsia="Times New Roman" w:hAnsi="Times New Roman"/>
          <w:i/>
          <w:iCs/>
          <w:color w:val="6575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19486A"/>
                <w:sz w:val="19"/>
                <w:szCs w:val="19"/>
              </w:rPr>
              <w:t xml:space="preserve">Partnerships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09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10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2026-09-08T05:40:18.198Z</dcterms:created>
  <dcterms:modified xsi:type="dcterms:W3CDTF">2026-09-08T05:40:18.198Z</dcterms:modified>
</cp:coreProperties>
</file>

<file path=docProps/custom.xml><?xml version="1.0" encoding="utf-8"?>
<Properties xmlns="http://schemas.openxmlformats.org/officeDocument/2006/custom-properties" xmlns:vt="http://schemas.openxmlformats.org/officeDocument/2006/docPropsVTypes"/>
</file>