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A767B"/>
          <w:sz w:val="25"/>
          <w:szCs w:val="25"/>
        </w:rPr>
        <w:t xml:space="preserve">International Sustainable Procurement and Responsible Operations Group Limited</w:t>
      </w:r>
    </w:p>
    <w:p>
      <w:pPr>
        <w:spacing w:before="1361"/>
      </w:pPr>
      <w:r>
        <w:rPr>
          <w:sz w:val="2"/>
          <w:szCs w:val="2"/>
        </w:rPr>
        <w:t xml:space="preserve"> </w:t>
      </w:r>
    </w:p>
    <w:p>
      <w:pPr>
        <w:spacing w:after="140"/>
        <w:jc w:val="left"/>
      </w:pPr>
      <w:r>
        <w:rPr>
          <w:rFonts w:ascii="Arial" w:cs="Arial" w:eastAsia="Arial" w:hAnsi="Arial"/>
          <w:b/>
          <w:bCs/>
          <w:color w:val="24333A"/>
          <w:sz w:val="56"/>
          <w:szCs w:val="56"/>
        </w:rPr>
        <w:t xml:space="preserve">Sustainable Procurement Policy</w:t>
      </w:r>
    </w:p>
    <w:p>
      <w:pPr>
        <w:pBdr>
          <w:bottom w:val="single" w:color="3A4C56" w:sz="6" w:space="1"/>
        </w:pBdr>
        <w:spacing w:after="360"/>
      </w:pPr>
    </w:p>
    <w:p>
      <w:pPr>
        <w:spacing w:before="900"/>
      </w:pPr>
      <w:r>
        <w:rPr>
          <w:sz w:val="2"/>
          <w:szCs w:val="2"/>
        </w:rPr>
        <w:t xml:space="preserve"> </w:t>
      </w:r>
    </w:p>
    <w:p>
      <w:pPr>
        <w:pBdr>
          <w:top w:val="single" w:color="D8E0E3" w:sz="4" w:space="1"/>
        </w:pBdr>
        <w:spacing w:after="220"/>
      </w:pP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DOCUMENT NO.</w:t>
            </w:r>
          </w:p>
          <w:p>
            <w:pPr>
              <w:spacing w:after="180"/>
            </w:pPr>
            <w:r>
              <w:rPr>
                <w:rFonts w:ascii="Arial" w:cs="Arial" w:eastAsia="Arial" w:hAnsi="Arial"/>
                <w:color w:val="6A767B"/>
                <w:sz w:val="20"/>
                <w:szCs w:val="20"/>
              </w:rPr>
              <w:t xml:space="preserve">ASC-ENV-001</w:t>
            </w:r>
          </w:p>
        </w:tc>
        <w:tc>
          <w:tcPr>
            <w:tcW w:type="dxa" w:w="4249"/>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EFFECTIVE DATE</w:t>
            </w:r>
          </w:p>
          <w:p>
            <w:pPr>
              <w:spacing w:after="180"/>
            </w:pPr>
            <w:r>
              <w:rPr>
                <w:rFonts w:ascii="Arial" w:cs="Arial" w:eastAsia="Arial" w:hAnsi="Arial"/>
                <w:color w:val="6A767B"/>
                <w:sz w:val="20"/>
                <w:szCs w:val="20"/>
              </w:rPr>
              <w:t xml:space="preserve">2025-01-15</w:t>
            </w:r>
          </w:p>
        </w:tc>
      </w:tr>
      <w:tr>
        <w:trPr>
          <w:cantSplit/>
        </w:trPr>
        <w:tc>
          <w:tcPr>
            <w:tcW w:type="dxa" w:w="4249"/>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REVISION</w:t>
            </w:r>
          </w:p>
          <w:p>
            <w:pPr>
              <w:spacing w:after="180"/>
            </w:pPr>
            <w:r>
              <w:rPr>
                <w:rFonts w:ascii="Arial" w:cs="Arial" w:eastAsia="Arial" w:hAnsi="Arial"/>
                <w:color w:val="6A767B"/>
                <w:sz w:val="20"/>
                <w:szCs w:val="20"/>
              </w:rPr>
              <w:t xml:space="preserve">01</w:t>
            </w:r>
          </w:p>
        </w:tc>
        <w:tc>
          <w:tcPr>
            <w:tcW w:type="dxa" w:w="4249"/>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NEXT REVIEW</w:t>
            </w:r>
          </w:p>
          <w:p>
            <w:pPr>
              <w:spacing w:after="180"/>
            </w:pPr>
            <w:r>
              <w:rPr>
                <w:rFonts w:ascii="Arial" w:cs="Arial" w:eastAsia="Arial" w:hAnsi="Arial"/>
                <w:color w:val="6A767B"/>
                <w:sz w:val="20"/>
                <w:szCs w:val="20"/>
              </w:rPr>
              <w:t xml:space="preserve">2027-01-14</w:t>
            </w:r>
          </w:p>
        </w:tc>
      </w:tr>
    </w:tbl>
    <w:p>
      <w:r>
        <w:br w:type="page"/>
      </w:r>
    </w:p>
    <w:p>
      <w:pPr>
        <w:pStyle w:val="PolicyHeading"/>
        <w:spacing w:after="360"/>
        <w:jc w:val="left"/>
      </w:pPr>
      <w:r>
        <w:t xml:space="preserve">Contents</w:t>
      </w:r>
    </w:p>
    <w:p>
      <w:pPr>
        <w:pBdr>
          <w:bottom w:val="dotted" w:color="D8E0E3" w:sz="3" w:space="1"/>
        </w:pBdr>
        <w:spacing w:after="95" w:before="60"/>
      </w:pPr>
      <w:hyperlink w:history="1" w:anchor="standard-preface">
        <w:r>
          <w:rPr>
            <w:rFonts w:ascii="Arial" w:cs="Arial" w:eastAsia="Arial" w:hAnsi="Arial"/>
            <w:b/>
            <w:bCs/>
            <w:color w:val="3A4C56"/>
            <w:sz w:val="20"/>
            <w:szCs w:val="20"/>
          </w:rPr>
          <w:t xml:space="preserve">01   </w:t>
        </w:r>
        <w:r>
          <w:rPr>
            <w:rFonts w:ascii="Arial" w:cs="Arial" w:eastAsia="Arial" w:hAnsi="Arial"/>
            <w:color w:val="24333A"/>
            <w:sz w:val="20"/>
            <w:szCs w:val="20"/>
          </w:rPr>
          <w:t xml:space="preserve">Preface</w:t>
        </w:r>
      </w:hyperlink>
    </w:p>
    <w:p>
      <w:pPr>
        <w:pBdr>
          <w:bottom w:val="dotted" w:color="D8E0E3" w:sz="3" w:space="1"/>
        </w:pBdr>
        <w:spacing w:after="95" w:before="60"/>
      </w:pPr>
      <w:hyperlink w:history="1" w:anchor="standard-declaration">
        <w:r>
          <w:rPr>
            <w:rFonts w:ascii="Arial" w:cs="Arial" w:eastAsia="Arial" w:hAnsi="Arial"/>
            <w:b/>
            <w:bCs/>
            <w:color w:val="3A4C56"/>
            <w:sz w:val="20"/>
            <w:szCs w:val="20"/>
          </w:rPr>
          <w:t xml:space="preserve">02   </w:t>
        </w:r>
        <w:r>
          <w:rPr>
            <w:rFonts w:ascii="Arial" w:cs="Arial" w:eastAsia="Arial" w:hAnsi="Arial"/>
            <w:color w:val="24333A"/>
            <w:sz w:val="20"/>
            <w:szCs w:val="20"/>
          </w:rPr>
          <w:t xml:space="preserve">Policy Declaration</w:t>
        </w:r>
      </w:hyperlink>
    </w:p>
    <w:p>
      <w:pPr>
        <w:pBdr>
          <w:bottom w:val="dotted" w:color="D8E0E3" w:sz="3" w:space="1"/>
        </w:pBdr>
        <w:spacing w:after="95" w:before="60"/>
      </w:pPr>
      <w:hyperlink w:history="1" w:anchor="standard-scope">
        <w:r>
          <w:rPr>
            <w:rFonts w:ascii="Arial" w:cs="Arial" w:eastAsia="Arial" w:hAnsi="Arial"/>
            <w:b/>
            <w:bCs/>
            <w:color w:val="3A4C56"/>
            <w:sz w:val="20"/>
            <w:szCs w:val="20"/>
          </w:rPr>
          <w:t xml:space="preserve">03   </w:t>
        </w:r>
        <w:r>
          <w:rPr>
            <w:rFonts w:ascii="Arial" w:cs="Arial" w:eastAsia="Arial" w:hAnsi="Arial"/>
            <w:color w:val="24333A"/>
            <w:sz w:val="20"/>
            <w:szCs w:val="20"/>
          </w:rPr>
          <w:t xml:space="preserve">Scope</w:t>
        </w:r>
      </w:hyperlink>
    </w:p>
    <w:p>
      <w:pPr>
        <w:pBdr>
          <w:bottom w:val="dotted" w:color="D8E0E3" w:sz="3" w:space="1"/>
        </w:pBdr>
        <w:spacing w:after="95" w:before="60"/>
      </w:pPr>
      <w:hyperlink w:history="1" w:anchor="standard-focus">
        <w:r>
          <w:rPr>
            <w:rFonts w:ascii="Arial" w:cs="Arial" w:eastAsia="Arial" w:hAnsi="Arial"/>
            <w:b/>
            <w:bCs/>
            <w:color w:val="3A4C56"/>
            <w:sz w:val="20"/>
            <w:szCs w:val="20"/>
          </w:rPr>
          <w:t xml:space="preserve">04   </w:t>
        </w:r>
        <w:r>
          <w:rPr>
            <w:rFonts w:ascii="Arial" w:cs="Arial" w:eastAsia="Arial" w:hAnsi="Arial"/>
            <w:color w:val="24333A"/>
            <w:sz w:val="20"/>
            <w:szCs w:val="20"/>
          </w:rPr>
          <w:t xml:space="preserve">Key Focus Areas</w:t>
        </w:r>
      </w:hyperlink>
    </w:p>
    <w:p>
      <w:pPr>
        <w:pBdr>
          <w:bottom w:val="dotted" w:color="D8E0E3" w:sz="3" w:space="1"/>
        </w:pBdr>
        <w:spacing w:after="95" w:before="60"/>
      </w:pPr>
      <w:hyperlink w:history="1" w:anchor="standard-qualitative">
        <w:r>
          <w:rPr>
            <w:rFonts w:ascii="Arial" w:cs="Arial" w:eastAsia="Arial" w:hAnsi="Arial"/>
            <w:b/>
            <w:bCs/>
            <w:color w:val="3A4C56"/>
            <w:sz w:val="20"/>
            <w:szCs w:val="20"/>
          </w:rPr>
          <w:t xml:space="preserve">05   </w:t>
        </w:r>
        <w:r>
          <w:rPr>
            <w:rFonts w:ascii="Arial" w:cs="Arial" w:eastAsia="Arial" w:hAnsi="Arial"/>
            <w:color w:val="24333A"/>
            <w:sz w:val="20"/>
            <w:szCs w:val="20"/>
          </w:rPr>
          <w:t xml:space="preserve">Qualitative Objectives</w:t>
        </w:r>
      </w:hyperlink>
    </w:p>
    <w:p>
      <w:pPr>
        <w:pBdr>
          <w:bottom w:val="dotted" w:color="D8E0E3" w:sz="3" w:space="1"/>
        </w:pBdr>
        <w:spacing w:after="95" w:before="60"/>
      </w:pPr>
      <w:hyperlink w:history="1" w:anchor="standard-quantitative">
        <w:r>
          <w:rPr>
            <w:rFonts w:ascii="Arial" w:cs="Arial" w:eastAsia="Arial" w:hAnsi="Arial"/>
            <w:b/>
            <w:bCs/>
            <w:color w:val="3A4C56"/>
            <w:sz w:val="20"/>
            <w:szCs w:val="20"/>
          </w:rPr>
          <w:t xml:space="preserve">06   </w:t>
        </w:r>
        <w:r>
          <w:rPr>
            <w:rFonts w:ascii="Arial" w:cs="Arial" w:eastAsia="Arial" w:hAnsi="Arial"/>
            <w:color w:val="24333A"/>
            <w:sz w:val="20"/>
            <w:szCs w:val="20"/>
          </w:rPr>
          <w:t xml:space="preserve">Quantitative Targets</w:t>
        </w:r>
      </w:hyperlink>
    </w:p>
    <w:p>
      <w:pPr>
        <w:pBdr>
          <w:bottom w:val="dotted" w:color="D8E0E3" w:sz="3" w:space="1"/>
        </w:pBdr>
        <w:spacing w:after="95" w:before="60"/>
      </w:pPr>
      <w:hyperlink w:history="1" w:anchor="standard-sdg">
        <w:r>
          <w:rPr>
            <w:rFonts w:ascii="Arial" w:cs="Arial" w:eastAsia="Arial" w:hAnsi="Arial"/>
            <w:b/>
            <w:bCs/>
            <w:color w:val="3A4C56"/>
            <w:sz w:val="20"/>
            <w:szCs w:val="20"/>
          </w:rPr>
          <w:t xml:space="preserve">07   </w:t>
        </w:r>
        <w:r>
          <w:rPr>
            <w:rFonts w:ascii="Arial" w:cs="Arial" w:eastAsia="Arial" w:hAnsi="Arial"/>
            <w:color w:val="24333A"/>
            <w:sz w:val="20"/>
            <w:szCs w:val="20"/>
          </w:rPr>
          <w:t xml:space="preserve">SDG Alignment</w:t>
        </w:r>
      </w:hyperlink>
    </w:p>
    <w:p>
      <w:pPr>
        <w:pBdr>
          <w:bottom w:val="dotted" w:color="D8E0E3" w:sz="3" w:space="1"/>
        </w:pBdr>
        <w:spacing w:after="95" w:before="60"/>
      </w:pPr>
      <w:hyperlink w:history="1" w:anchor="standard-responsibilities">
        <w:r>
          <w:rPr>
            <w:rFonts w:ascii="Arial" w:cs="Arial" w:eastAsia="Arial" w:hAnsi="Arial"/>
            <w:b/>
            <w:bCs/>
            <w:color w:val="3A4C56"/>
            <w:sz w:val="20"/>
            <w:szCs w:val="20"/>
          </w:rPr>
          <w:t xml:space="preserve">08   </w:t>
        </w:r>
        <w:r>
          <w:rPr>
            <w:rFonts w:ascii="Arial" w:cs="Arial" w:eastAsia="Arial" w:hAnsi="Arial"/>
            <w:color w:val="24333A"/>
            <w:sz w:val="20"/>
            <w:szCs w:val="20"/>
          </w:rPr>
          <w:t xml:space="preserve">Roles &amp; Responsibilities</w:t>
        </w:r>
      </w:hyperlink>
    </w:p>
    <w:p>
      <w:pPr>
        <w:pBdr>
          <w:bottom w:val="dotted" w:color="D8E0E3" w:sz="3" w:space="1"/>
        </w:pBdr>
        <w:spacing w:after="95" w:before="60"/>
      </w:pPr>
      <w:hyperlink w:history="1" w:anchor="standard-monitoring">
        <w:r>
          <w:rPr>
            <w:rFonts w:ascii="Arial" w:cs="Arial" w:eastAsia="Arial" w:hAnsi="Arial"/>
            <w:b/>
            <w:bCs/>
            <w:color w:val="3A4C56"/>
            <w:sz w:val="20"/>
            <w:szCs w:val="20"/>
          </w:rPr>
          <w:t xml:space="preserve">09   </w:t>
        </w:r>
        <w:r>
          <w:rPr>
            <w:rFonts w:ascii="Arial" w:cs="Arial" w:eastAsia="Arial" w:hAnsi="Arial"/>
            <w:color w:val="24333A"/>
            <w:sz w:val="20"/>
            <w:szCs w:val="20"/>
          </w:rPr>
          <w:t xml:space="preserve">Monitoring, Reporting &amp; Transparency</w:t>
        </w:r>
      </w:hyperlink>
    </w:p>
    <w:p>
      <w:pPr>
        <w:pBdr>
          <w:bottom w:val="dotted" w:color="D8E0E3" w:sz="3" w:space="1"/>
        </w:pBdr>
        <w:spacing w:after="95" w:before="60"/>
      </w:pPr>
      <w:hyperlink w:history="1" w:anchor="standard-review">
        <w:r>
          <w:rPr>
            <w:rFonts w:ascii="Arial" w:cs="Arial" w:eastAsia="Arial" w:hAnsi="Arial"/>
            <w:b/>
            <w:bCs/>
            <w:color w:val="3A4C56"/>
            <w:sz w:val="20"/>
            <w:szCs w:val="20"/>
          </w:rPr>
          <w:t xml:space="preserve">10   </w:t>
        </w:r>
        <w:r>
          <w:rPr>
            <w:rFonts w:ascii="Arial" w:cs="Arial" w:eastAsia="Arial" w:hAnsi="Arial"/>
            <w:color w:val="24333A"/>
            <w:sz w:val="20"/>
            <w:szCs w:val="20"/>
          </w:rPr>
          <w:t xml:space="preserve">Review Mechanism &amp; Continuous Improvement</w:t>
        </w:r>
      </w:hyperlink>
    </w:p>
    <w:p>
      <w:r>
        <w:br w:type="page"/>
      </w:r>
    </w:p>
    <w:p>
      <w:pPr>
        <w:pStyle w:val="PolicyHeading"/>
        <w:pBdr>
          <w:bottom w:val="single" w:color="3A4C56" w:sz="4" w:space="1"/>
        </w:pBdr>
        <w:spacing w:after="180" w:before="260"/>
        <w:jc w:val="left"/>
      </w:pPr>
      <w:bookmarkStart w:name="standard-preface" w:id="1"/>
      <w:bookmarkEnd w:id="1"/>
      <w:r>
        <w:rPr>
          <w:rFonts w:ascii="Arial" w:cs="Arial" w:eastAsia="Arial" w:hAnsi="Arial"/>
          <w:color w:val="6A767B"/>
          <w:sz w:val="20"/>
          <w:szCs w:val="20"/>
        </w:rPr>
        <w:t xml:space="preserve">01   </w:t>
      </w:r>
      <w:r>
        <w:rPr>
          <w:rFonts w:ascii="Arial" w:cs="Arial" w:eastAsia="Arial" w:hAnsi="Arial"/>
          <w:b/>
          <w:bCs/>
          <w:color w:val="24333A"/>
          <w:sz w:val="30"/>
          <w:szCs w:val="30"/>
        </w:rPr>
        <w:t xml:space="preserve">Preface</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12"/>
        <w:jc w:val="both"/>
      </w:pPr>
      <w:r>
        <w:rPr>
          <w:rFonts w:ascii="Arial" w:cs="Arial" w:eastAsia="Arial" w:hAnsi="Arial"/>
          <w:sz w:val="20"/>
          <w:szCs w:val="20"/>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A4C56" w:sz="4" w:space="1"/>
        </w:pBdr>
        <w:spacing w:after="180" w:before="260"/>
        <w:jc w:val="left"/>
      </w:pPr>
      <w:bookmarkStart w:name="standard-declaration" w:id="1"/>
      <w:bookmarkEnd w:id="1"/>
      <w:r>
        <w:rPr>
          <w:rFonts w:ascii="Arial" w:cs="Arial" w:eastAsia="Arial" w:hAnsi="Arial"/>
          <w:color w:val="6A767B"/>
          <w:sz w:val="20"/>
          <w:szCs w:val="20"/>
        </w:rPr>
        <w:t xml:space="preserve">02   </w:t>
      </w:r>
      <w:r>
        <w:rPr>
          <w:rFonts w:ascii="Arial" w:cs="Arial" w:eastAsia="Arial" w:hAnsi="Arial"/>
          <w:b/>
          <w:bCs/>
          <w:color w:val="24333A"/>
          <w:sz w:val="30"/>
          <w:szCs w:val="30"/>
        </w:rPr>
        <w:t xml:space="preserve">Policy Declaration</w:t>
      </w:r>
    </w:p>
    <w:p>
      <w:pPr>
        <w:pStyle w:val="PolicyBody"/>
        <w:spacing w:after="150" w:line="312"/>
        <w:jc w:val="both"/>
      </w:pPr>
      <w:r>
        <w:rPr>
          <w:rFonts w:ascii="Arial" w:cs="Arial" w:eastAsia="Arial" w:hAnsi="Arial"/>
          <w:sz w:val="20"/>
          <w:szCs w:val="20"/>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3A4C56" w:sz="4" w:space="1"/>
        </w:pBdr>
        <w:spacing w:after="180" w:before="260"/>
        <w:jc w:val="left"/>
      </w:pPr>
      <w:bookmarkStart w:name="standard-scope" w:id="1"/>
      <w:bookmarkEnd w:id="1"/>
      <w:r>
        <w:rPr>
          <w:rFonts w:ascii="Arial" w:cs="Arial" w:eastAsia="Arial" w:hAnsi="Arial"/>
          <w:color w:val="6A767B"/>
          <w:sz w:val="20"/>
          <w:szCs w:val="20"/>
        </w:rPr>
        <w:t xml:space="preserve">03   </w:t>
      </w:r>
      <w:r>
        <w:rPr>
          <w:rFonts w:ascii="Arial" w:cs="Arial" w:eastAsia="Arial" w:hAnsi="Arial"/>
          <w:b/>
          <w:bCs/>
          <w:color w:val="24333A"/>
          <w:sz w:val="30"/>
          <w:szCs w:val="30"/>
        </w:rPr>
        <w:t xml:space="preserve">Scope</w:t>
      </w:r>
    </w:p>
    <w:p>
      <w:pPr>
        <w:pStyle w:val="PolicyBody"/>
        <w:spacing w:after="150" w:line="312"/>
        <w:jc w:val="both"/>
      </w:pPr>
      <w:r>
        <w:rPr>
          <w:rFonts w:ascii="Arial" w:cs="Arial" w:eastAsia="Arial" w:hAnsi="Arial"/>
          <w:sz w:val="20"/>
          <w:szCs w:val="20"/>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058"/>
        <w:gridCol w:w="4289"/>
        <w:gridCol w:w="2151"/>
      </w:tblGrid>
      <w:tr>
        <w:trPr>
          <w:cantSplit/>
          <w:tblHeader/>
        </w:trPr>
        <w:tc>
          <w:tcPr>
            <w:tcW w:type="dxa" w:w="2058"/>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Location / Unit</w:t>
            </w:r>
          </w:p>
        </w:tc>
        <w:tc>
          <w:tcPr>
            <w:tcW w:type="dxa" w:w="4289"/>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Address</w:t>
            </w:r>
          </w:p>
        </w:tc>
        <w:tc>
          <w:tcPr>
            <w:tcW w:type="dxa" w:w="2151"/>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Primary Function</w:t>
            </w:r>
          </w:p>
        </w:tc>
      </w:tr>
      <w:tr>
        <w:trPr>
          <w:cantSplit/>
        </w:trPr>
        <w:tc>
          <w:tcPr>
            <w:tcW w:type="dxa" w:w="2058"/>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Manesar Plant</w:t>
            </w:r>
          </w:p>
        </w:tc>
        <w:tc>
          <w:tcPr>
            <w:tcW w:type="dxa" w:w="4289"/>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151"/>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focus" w:id="1"/>
      <w:bookmarkEnd w:id="1"/>
      <w:r>
        <w:rPr>
          <w:rFonts w:ascii="Arial" w:cs="Arial" w:eastAsia="Arial" w:hAnsi="Arial"/>
          <w:color w:val="6A767B"/>
          <w:sz w:val="20"/>
          <w:szCs w:val="20"/>
        </w:rPr>
        <w:t xml:space="preserve">04   </w:t>
      </w:r>
      <w:r>
        <w:rPr>
          <w:rFonts w:ascii="Arial" w:cs="Arial" w:eastAsia="Arial" w:hAnsi="Arial"/>
          <w:b/>
          <w:bCs/>
          <w:color w:val="24333A"/>
          <w:sz w:val="30"/>
          <w:szCs w:val="30"/>
        </w:rPr>
        <w:t xml:space="preserve">Key Focus Areas</w:t>
      </w:r>
    </w:p>
    <w:tbl>
      <w:tblPr>
        <w:tblW w:type="dxa" w:w="833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169"/>
        <w:gridCol w:w="4169"/>
      </w:tblGrid>
      <w:tr>
        <w:trPr>
          <w:cantSplit/>
        </w:trPr>
        <w:tc>
          <w:tcPr>
            <w:tcW w:type="dxa" w:w="4169"/>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01</w:t>
            </w:r>
            <w:r>
              <w:rPr>
                <w:rFonts w:ascii="Arial" w:cs="Arial" w:eastAsia="Arial" w:hAnsi="Arial"/>
                <w:b/>
                <w:bCs/>
                <w:color w:val="20282D"/>
                <w:sz w:val="24"/>
                <w:szCs w:val="24"/>
              </w:rPr>
              <w:t xml:space="preserve">  Supplier Code of Conduct &amp; Onboarding</w:t>
            </w:r>
          </w:p>
        </w:tc>
        <w:tc>
          <w:tcPr>
            <w:tcW w:type="dxa" w:w="4169"/>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02</w:t>
            </w:r>
            <w:r>
              <w:rPr>
                <w:rFonts w:ascii="Arial" w:cs="Arial" w:eastAsia="Arial" w:hAnsi="Arial"/>
                <w:b/>
                <w:bCs/>
                <w:color w:val="20282D"/>
                <w:sz w:val="24"/>
                <w:szCs w:val="24"/>
              </w:rPr>
              <w:t xml:space="preserve">  Supplier Due Diligence &amp; Risk Assessment</w:t>
            </w:r>
          </w:p>
        </w:tc>
      </w:tr>
      <w:tr>
        <w:trPr>
          <w:cantSplit/>
        </w:trPr>
        <w:tc>
          <w:tcPr>
            <w:tcW w:type="dxa" w:w="4169"/>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03</w:t>
            </w:r>
            <w:r>
              <w:rPr>
                <w:rFonts w:ascii="Arial" w:cs="Arial" w:eastAsia="Arial" w:hAnsi="Arial"/>
                <w:b/>
                <w:bCs/>
                <w:color w:val="20282D"/>
                <w:sz w:val="24"/>
                <w:szCs w:val="24"/>
              </w:rPr>
              <w:t xml:space="preserve">  Environmental Requirements for Suppliers</w:t>
            </w:r>
          </w:p>
        </w:tc>
        <w:tc>
          <w:tcPr>
            <w:tcW w:type="dxa" w:w="4169"/>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04</w:t>
            </w:r>
            <w:r>
              <w:rPr>
                <w:rFonts w:ascii="Arial" w:cs="Arial" w:eastAsia="Arial" w:hAnsi="Arial"/>
                <w:b/>
                <w:bCs/>
                <w:color w:val="20282D"/>
                <w:sz w:val="24"/>
                <w:szCs w:val="24"/>
              </w:rPr>
              <w:t xml:space="preserve">  Ethical Sourcing &amp; Anti-Corruption</w:t>
            </w:r>
          </w:p>
        </w:tc>
      </w:tr>
      <w:tr>
        <w:trPr>
          <w:cantSplit/>
        </w:trPr>
        <w:tc>
          <w:tcPr>
            <w:tcW w:type="dxa" w:w="4169"/>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05</w:t>
            </w:r>
            <w:r>
              <w:rPr>
                <w:rFonts w:ascii="Arial" w:cs="Arial" w:eastAsia="Arial" w:hAnsi="Arial"/>
                <w:b/>
                <w:bCs/>
                <w:color w:val="20282D"/>
                <w:sz w:val="24"/>
                <w:szCs w:val="24"/>
              </w:rPr>
              <w:t xml:space="preserve">  Labour &amp; Human Rights in Supply Chain</w:t>
            </w:r>
          </w:p>
        </w:tc>
        <w:tc>
          <w:tcPr>
            <w:tcW w:type="dxa" w:w="4169"/>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r>
              <w:t xml:space="preserve"/>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qualitative" w:id="1"/>
      <w:bookmarkEnd w:id="1"/>
      <w:r>
        <w:rPr>
          <w:rFonts w:ascii="Arial" w:cs="Arial" w:eastAsia="Arial" w:hAnsi="Arial"/>
          <w:color w:val="6A767B"/>
          <w:sz w:val="20"/>
          <w:szCs w:val="20"/>
        </w:rPr>
        <w:t xml:space="preserve">05   </w:t>
      </w:r>
      <w:r>
        <w:rPr>
          <w:rFonts w:ascii="Arial" w:cs="Arial" w:eastAsia="Arial" w:hAnsi="Arial"/>
          <w:b/>
          <w:bCs/>
          <w:color w:val="24333A"/>
          <w:sz w:val="30"/>
          <w:szCs w:val="30"/>
        </w:rPr>
        <w:t xml:space="preserve">Qualitative Objectives</w:t>
      </w:r>
    </w:p>
    <w:p>
      <w:pPr>
        <w:spacing w:after="90"/>
      </w:pPr>
      <w:r>
        <w:rPr>
          <w:rFonts w:ascii="Arial" w:cs="Arial" w:eastAsia="Arial" w:hAnsi="Arial"/>
          <w:b/>
          <w:bCs/>
          <w:color w:val="3A4C56"/>
          <w:sz w:val="18"/>
          <w:szCs w:val="18"/>
        </w:rPr>
        <w:t xml:space="preserve">01  </w:t>
      </w:r>
      <w:r>
        <w:rPr>
          <w:rFonts w:ascii="Arial" w:cs="Arial" w:eastAsia="Arial" w:hAnsi="Arial"/>
          <w:b/>
          <w:bCs/>
          <w:color w:val="24333A"/>
          <w:sz w:val="24"/>
          <w:szCs w:val="24"/>
        </w:rPr>
        <w:t xml:space="preserve">Supplier Code of Conduct &amp; Onboarding</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supplier code of conduct &amp; onboarding.</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supplier code of conduct &amp; onboarding.</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Arial" w:cs="Arial" w:eastAsia="Arial" w:hAnsi="Arial"/>
          <w:b/>
          <w:bCs/>
          <w:color w:val="3A4C56"/>
          <w:sz w:val="18"/>
          <w:szCs w:val="18"/>
        </w:rPr>
        <w:t xml:space="preserve">02  </w:t>
      </w:r>
      <w:r>
        <w:rPr>
          <w:rFonts w:ascii="Arial" w:cs="Arial" w:eastAsia="Arial" w:hAnsi="Arial"/>
          <w:b/>
          <w:bCs/>
          <w:color w:val="24333A"/>
          <w:sz w:val="24"/>
          <w:szCs w:val="24"/>
        </w:rPr>
        <w:t xml:space="preserve">Supplier Due Diligence &amp; Risk Assessment</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supplier due diligence &amp; risk assessment.</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supplier due diligence &amp; risk assessment.</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Arial" w:cs="Arial" w:eastAsia="Arial" w:hAnsi="Arial"/>
          <w:b/>
          <w:bCs/>
          <w:color w:val="3A4C56"/>
          <w:sz w:val="18"/>
          <w:szCs w:val="18"/>
        </w:rPr>
        <w:t xml:space="preserve">03  </w:t>
      </w:r>
      <w:r>
        <w:rPr>
          <w:rFonts w:ascii="Arial" w:cs="Arial" w:eastAsia="Arial" w:hAnsi="Arial"/>
          <w:b/>
          <w:bCs/>
          <w:color w:val="24333A"/>
          <w:sz w:val="24"/>
          <w:szCs w:val="24"/>
        </w:rPr>
        <w:t xml:space="preserve">Environmental Requirements for Suppliers</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environmental requirements for suppliers.</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environmental requirements for suppliers.</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Arial" w:cs="Arial" w:eastAsia="Arial" w:hAnsi="Arial"/>
          <w:b/>
          <w:bCs/>
          <w:color w:val="3A4C56"/>
          <w:sz w:val="18"/>
          <w:szCs w:val="18"/>
        </w:rPr>
        <w:t xml:space="preserve">04  </w:t>
      </w:r>
      <w:r>
        <w:rPr>
          <w:rFonts w:ascii="Arial" w:cs="Arial" w:eastAsia="Arial" w:hAnsi="Arial"/>
          <w:b/>
          <w:bCs/>
          <w:color w:val="24333A"/>
          <w:sz w:val="24"/>
          <w:szCs w:val="24"/>
        </w:rPr>
        <w:t xml:space="preserve">Ethical Sourcing &amp; Anti-Corruption</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ethical sourcing &amp; anti-corruption.</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ethical sourcing &amp; anti-corruption.</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ethical sourcing &amp; anti-corruption.</w:t>
      </w:r>
    </w:p>
    <w:p>
      <w:pPr>
        <w:spacing w:before="70"/>
      </w:pPr>
      <w:r>
        <w:rPr>
          <w:sz w:val="2"/>
          <w:szCs w:val="2"/>
        </w:rPr>
        <w:t xml:space="preserve"> </w:t>
      </w:r>
    </w:p>
    <w:p>
      <w:pPr>
        <w:spacing w:after="90"/>
      </w:pPr>
      <w:r>
        <w:rPr>
          <w:rFonts w:ascii="Arial" w:cs="Arial" w:eastAsia="Arial" w:hAnsi="Arial"/>
          <w:b/>
          <w:bCs/>
          <w:color w:val="3A4C56"/>
          <w:sz w:val="18"/>
          <w:szCs w:val="18"/>
        </w:rPr>
        <w:t xml:space="preserve">05  </w:t>
      </w:r>
      <w:r>
        <w:rPr>
          <w:rFonts w:ascii="Arial" w:cs="Arial" w:eastAsia="Arial" w:hAnsi="Arial"/>
          <w:b/>
          <w:bCs/>
          <w:color w:val="24333A"/>
          <w:sz w:val="24"/>
          <w:szCs w:val="24"/>
        </w:rPr>
        <w:t xml:space="preserve">Labour &amp; Human Rights in Supply Chain</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labour &amp; human rights in supply chain.</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labour &amp; human rights in supply chain.</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labour &amp; human rights in supply chain.</w:t>
      </w:r>
    </w:p>
    <w:p>
      <w:pPr>
        <w:spacing w:before="70"/>
      </w:pPr>
      <w:r>
        <w:rPr>
          <w:sz w:val="2"/>
          <w:szCs w:val="2"/>
        </w:rPr>
        <w:t xml:space="preserve"> </w:t>
      </w:r>
    </w:p>
    <w:p>
      <w:pPr>
        <w:spacing w:before="140"/>
      </w:pPr>
      <w:r>
        <w:rPr>
          <w:sz w:val="2"/>
          <w:szCs w:val="2"/>
        </w:rPr>
        <w:t xml:space="preserve"> </w:t>
      </w:r>
    </w:p>
    <w:p>
      <w:pPr>
        <w:pStyle w:val="PolicyHeading"/>
        <w:pBdr>
          <w:bottom w:val="single" w:color="3A4C56" w:sz="4" w:space="1"/>
        </w:pBdr>
        <w:spacing w:after="180" w:before="260"/>
        <w:jc w:val="left"/>
      </w:pPr>
      <w:bookmarkStart w:name="standard-quantitative" w:id="1"/>
      <w:bookmarkEnd w:id="1"/>
      <w:r>
        <w:rPr>
          <w:rFonts w:ascii="Arial" w:cs="Arial" w:eastAsia="Arial" w:hAnsi="Arial"/>
          <w:color w:val="6A767B"/>
          <w:sz w:val="20"/>
          <w:szCs w:val="20"/>
        </w:rPr>
        <w:t xml:space="preserve">06   </w:t>
      </w:r>
      <w:r>
        <w:rPr>
          <w:rFonts w:ascii="Arial" w:cs="Arial" w:eastAsia="Arial" w:hAnsi="Arial"/>
          <w:b/>
          <w:bCs/>
          <w:color w:val="24333A"/>
          <w:sz w:val="30"/>
          <w:szCs w:val="30"/>
        </w:rPr>
        <w:t xml:space="preserve">Quantitative Targets</w:t>
      </w:r>
    </w:p>
    <w:p>
      <w:pPr>
        <w:spacing w:after="120"/>
      </w:pPr>
      <w:r>
        <w:rPr>
          <w:rFonts w:ascii="Arial" w:cs="Arial" w:eastAsia="Arial" w:hAnsi="Arial"/>
          <w:i/>
          <w:iCs/>
          <w:color w:val="6A767B"/>
          <w:sz w:val="17"/>
          <w:szCs w:val="17"/>
        </w:rPr>
        <w:t xml:space="preserve">Targets are tracked against a defined period or reported annually as ongoing commitments.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86"/>
        <w:gridCol w:w="1544"/>
        <w:gridCol w:w="2830"/>
        <w:gridCol w:w="1072"/>
        <w:gridCol w:w="1072"/>
        <w:gridCol w:w="1594"/>
      </w:tblGrid>
      <w:tr>
        <w:trPr>
          <w:cantSplit/>
          <w:tblHeader/>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Focus Area</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Target</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Baseline</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Deadline</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Reporting</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4</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4.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5</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5.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6</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6.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7</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7.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8</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8.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9</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9.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10</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10. Achieve the approved supplier code of conduct &amp; onboarding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11</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12</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13</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14</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4.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15</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5.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16</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6.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17</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7.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18</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8.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19</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9.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20</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10. Achieve the approved supplier due diligence &amp; risk assessment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21</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22</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23</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24</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4.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25</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5.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26</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6.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27</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7.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28</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8.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29</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9.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38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30</w:t>
            </w:r>
          </w:p>
        </w:tc>
        <w:tc>
          <w:tcPr>
            <w:tcW w:type="dxa" w:w="154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283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10. Achieve the approved environmental requirements for suppliers target. Maintain documented evidence and review progress with the responsible department each quarter.</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07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594"/>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sdg" w:id="1"/>
      <w:bookmarkEnd w:id="1"/>
      <w:r>
        <w:rPr>
          <w:rFonts w:ascii="Arial" w:cs="Arial" w:eastAsia="Arial" w:hAnsi="Arial"/>
          <w:color w:val="6A767B"/>
          <w:sz w:val="20"/>
          <w:szCs w:val="20"/>
        </w:rPr>
        <w:t xml:space="preserve">07   </w:t>
      </w:r>
      <w:r>
        <w:rPr>
          <w:rFonts w:ascii="Arial" w:cs="Arial" w:eastAsia="Arial" w:hAnsi="Arial"/>
          <w:b/>
          <w:bCs/>
          <w:color w:val="24333A"/>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7098"/>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7098"/>
            <w:tcMar>
              <w:top w:type="dxa" w:w="120"/>
              <w:left w:type="dxa" w:w="120"/>
              <w:bottom w:type="dxa" w:w="120"/>
              <w:right w:type="dxa" w:w="120"/>
            </w:tcMar>
            <w:vAlign w:val="center"/>
          </w:tcPr>
          <w:p>
            <w:r>
              <w:rPr>
                <w:rFonts w:ascii="Arial" w:cs="Arial" w:eastAsia="Arial" w:hAnsi="Arial"/>
                <w:b/>
                <w:bCs/>
                <w:color w:val="FD6925"/>
                <w:sz w:val="19"/>
                <w:szCs w:val="19"/>
              </w:rPr>
              <w:t xml:space="preserve">Industry &amp; Innovation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7098"/>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7098"/>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7098"/>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7098"/>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responsibilities" w:id="1"/>
      <w:bookmarkEnd w:id="1"/>
      <w:r>
        <w:rPr>
          <w:rFonts w:ascii="Arial" w:cs="Arial" w:eastAsia="Arial" w:hAnsi="Arial"/>
          <w:color w:val="6A767B"/>
          <w:sz w:val="20"/>
          <w:szCs w:val="20"/>
        </w:rPr>
        <w:t xml:space="preserve">08   </w:t>
      </w:r>
      <w:r>
        <w:rPr>
          <w:rFonts w:ascii="Arial" w:cs="Arial" w:eastAsia="Arial" w:hAnsi="Arial"/>
          <w:b/>
          <w:bCs/>
          <w:color w:val="24333A"/>
          <w:sz w:val="30"/>
          <w:szCs w:val="30"/>
        </w:rPr>
        <w:t xml:space="preserve">Roles &amp; Responsibilities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573"/>
        <w:gridCol w:w="5925"/>
      </w:tblGrid>
      <w:tr>
        <w:trPr>
          <w:cantSplit/>
          <w:tblHeader/>
        </w:trPr>
        <w:tc>
          <w:tcPr>
            <w:tcW w:type="dxa" w:w="2573"/>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Role / Department</w:t>
            </w:r>
          </w:p>
        </w:tc>
        <w:tc>
          <w:tcPr>
            <w:tcW w:type="dxa" w:w="592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Responsibility</w:t>
            </w:r>
          </w:p>
        </w:tc>
      </w:tr>
      <w:tr>
        <w:trPr>
          <w:cantSplit/>
        </w:trPr>
        <w:tc>
          <w:tcPr>
            <w:tcW w:type="dxa" w:w="2573"/>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Procurement Team</w:t>
            </w:r>
          </w:p>
        </w:tc>
        <w:tc>
          <w:tcPr>
            <w:tcW w:type="dxa" w:w="592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573"/>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Sustainability Team</w:t>
            </w:r>
          </w:p>
        </w:tc>
        <w:tc>
          <w:tcPr>
            <w:tcW w:type="dxa" w:w="592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573"/>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Suppliers</w:t>
            </w:r>
          </w:p>
        </w:tc>
        <w:tc>
          <w:tcPr>
            <w:tcW w:type="dxa" w:w="592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573"/>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Senior Management</w:t>
            </w:r>
          </w:p>
        </w:tc>
        <w:tc>
          <w:tcPr>
            <w:tcW w:type="dxa" w:w="592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573"/>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All Employees</w:t>
            </w:r>
          </w:p>
        </w:tc>
        <w:tc>
          <w:tcPr>
            <w:tcW w:type="dxa" w:w="592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monitoring" w:id="1"/>
      <w:bookmarkEnd w:id="1"/>
      <w:r>
        <w:rPr>
          <w:rFonts w:ascii="Arial" w:cs="Arial" w:eastAsia="Arial" w:hAnsi="Arial"/>
          <w:color w:val="6A767B"/>
          <w:sz w:val="20"/>
          <w:szCs w:val="20"/>
        </w:rPr>
        <w:t xml:space="preserve">09   </w:t>
      </w:r>
      <w:r>
        <w:rPr>
          <w:rFonts w:ascii="Arial" w:cs="Arial" w:eastAsia="Arial" w:hAnsi="Arial"/>
          <w:b/>
          <w:bCs/>
          <w:color w:val="24333A"/>
          <w:sz w:val="30"/>
          <w:szCs w:val="30"/>
        </w:rPr>
        <w:t xml:space="preserve">Monitoring, Reporting &amp; Transparency</w:t>
      </w:r>
    </w:p>
    <w:p>
      <w:pPr>
        <w:pStyle w:val="PolicyBody"/>
        <w:spacing w:after="150" w:line="312"/>
        <w:jc w:val="both"/>
      </w:pPr>
      <w:r>
        <w:rPr>
          <w:rFonts w:ascii="Arial" w:cs="Arial" w:eastAsia="Arial" w:hAnsi="Arial"/>
          <w:sz w:val="20"/>
          <w:szCs w:val="20"/>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A4C56" w:sz="4" w:space="1"/>
        </w:pBdr>
        <w:spacing w:after="180" w:before="260"/>
        <w:jc w:val="left"/>
      </w:pPr>
      <w:bookmarkStart w:name="standard-review" w:id="1"/>
      <w:bookmarkEnd w:id="1"/>
      <w:r>
        <w:rPr>
          <w:rFonts w:ascii="Arial" w:cs="Arial" w:eastAsia="Arial" w:hAnsi="Arial"/>
          <w:color w:val="6A767B"/>
          <w:sz w:val="20"/>
          <w:szCs w:val="20"/>
        </w:rPr>
        <w:t xml:space="preserve">10   </w:t>
      </w:r>
      <w:r>
        <w:rPr>
          <w:rFonts w:ascii="Arial" w:cs="Arial" w:eastAsia="Arial" w:hAnsi="Arial"/>
          <w:b/>
          <w:bCs/>
          <w:color w:val="24333A"/>
          <w:sz w:val="30"/>
          <w:szCs w:val="30"/>
        </w:rPr>
        <w:t xml:space="preserve">Review Mechanism &amp; Continuous Improvement</w:t>
      </w:r>
    </w:p>
    <w:p>
      <w:pPr>
        <w:pStyle w:val="PolicyBody"/>
        <w:spacing w:after="150" w:line="312"/>
        <w:jc w:val="both"/>
      </w:pPr>
      <w:r>
        <w:rPr>
          <w:rFonts w:ascii="Arial" w:cs="Arial" w:eastAsia="Arial" w:hAnsi="Arial"/>
          <w:sz w:val="20"/>
          <w:szCs w:val="20"/>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24333A"/>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24333A"/>
          <w:sz w:val="36"/>
          <w:szCs w:val="36"/>
        </w:rPr>
        <w:t xml:space="preserve">Employee Acknowledgement Form</w:t>
      </w:r>
    </w:p>
    <w:p>
      <w:pPr>
        <w:spacing w:after="260" w:line="312"/>
        <w:jc w:val="both"/>
      </w:pPr>
      <w:r>
        <w:rPr>
          <w:rFonts w:ascii="Arial" w:cs="Arial" w:eastAsia="Arial" w:hAnsi="Arial"/>
          <w:sz w:val="20"/>
          <w:szCs w:val="20"/>
        </w:rPr>
        <w:t xml:space="preserve">I acknowledge that I have read and understood the Sustainable Procurement Policy of International Sustainable Procurement and Responsible Operations Group Limited and agree to uphold its commitments in my work.</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NAME</w:t>
            </w:r>
          </w:p>
          <w:p>
            <w:pPr>
              <w:pBdr>
                <w:bottom w:val="single" w:color="6A767B"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ID</w:t>
            </w:r>
          </w:p>
          <w:p>
            <w:pPr>
              <w:pBdr>
                <w:bottom w:val="single" w:color="6A767B"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DEPARTMENT</w:t>
            </w:r>
          </w:p>
          <w:p>
            <w:pPr>
              <w:pBdr>
                <w:bottom w:val="single" w:color="6A767B" w:sz="6" w:space="1"/>
              </w:pBdr>
              <w:spacing w:after="170"/>
            </w:pPr>
            <w:r>
              <w:t xml:space="preserve"> </w:t>
            </w:r>
          </w:p>
        </w:tc>
        <w:tc>
          <w:tcPr>
            <w:tcW w:type="dxa" w:w="4249"/>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DATE</w:t>
            </w:r>
          </w:p>
          <w:p>
            <w:pPr>
              <w:pBdr>
                <w:bottom w:val="single" w:color="6A767B" w:sz="6" w:space="1"/>
              </w:pBdr>
              <w:spacing w:after="170"/>
            </w:pPr>
            <w:r>
              <w:t xml:space="preserve"> </w:t>
            </w:r>
          </w:p>
        </w:tc>
      </w:tr>
      <w:tr>
        <w:trPr>
          <w:cantSplit/>
        </w:trPr>
        <w:tc>
          <w:tcPr>
            <w:tcW w:type="dxa" w:w="4249"/>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SIGNATURE</w:t>
            </w:r>
          </w:p>
          <w:p>
            <w:pPr>
              <w:pBdr>
                <w:bottom w:val="single" w:color="6A767B" w:sz="6" w:space="1"/>
              </w:pBdr>
              <w:spacing w:after="260"/>
            </w:pPr>
            <w:r>
              <w:t xml:space="preserve"> </w:t>
            </w:r>
          </w:p>
        </w:tc>
        <w:tc>
          <w:tcPr>
            <w:tcW w:type="dxa" w:w="4249"/>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704" w:right="1704" w:bottom="1704" w:left="1704" w:header="708" w:footer="708" w:gutter="0"/>
      <w:pgBorders w:display="allPages" w:offsetFrom="text">
        <w:top w:val="single" w:color="3A4C56" w:sz="48" w:space="29"/>
        <w:left w:val="single" w:color="3A4C56" w:sz="48" w:space="29"/>
        <w:bottom w:val="single" w:color="3A4C56" w:sz="48" w:space="29"/>
        <w:right w:val="single" w:color="3A4C56" w:sz="48" w:space="29"/>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3" w:sz="5" w:space="1"/>
      </w:pBdr>
      <w:spacing w:before="80"/>
      <w:jc w:val="left"/>
    </w:pPr>
    <w:r>
      <w:rPr>
        <w:rFonts w:ascii="Arial" w:cs="Arial" w:eastAsia="Arial" w:hAnsi="Arial"/>
        <w:i w:val="false"/>
        <w:iCs w:val="false"/>
        <w:color w:val="6A767B"/>
        <w:sz w:val="14"/>
        <w:szCs w:val="14"/>
      </w:rPr>
      <w:t xml:space="preserve">Effective 2025-01-15   -   Revision 01   -   Page </w:t>
    </w:r>
    <w:r>
      <w:rPr>
        <w:rFonts w:ascii="Arial" w:cs="Arial" w:eastAsia="Arial" w:hAnsi="Arial"/>
        <w:color w:val="6A76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E0E3" w:sz="5" w:space="1"/>
      </w:pBdr>
      <w:spacing w:after="60"/>
      <w:jc w:val="left"/>
    </w:pPr>
    <w:r>
      <w:rPr>
        <w:rFonts w:ascii="Arial" w:cs="Arial" w:eastAsia="Arial" w:hAnsi="Arial"/>
        <w:b/>
        <w:bCs/>
        <w:color w:val="6A767B"/>
        <w:spacing w:val="20"/>
        <w:sz w:val="14"/>
        <w:szCs w:val="14"/>
      </w:rPr>
      <w:t xml:space="preserve">International Sustainable Procurement and Responsible Operations Group Limited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3A4C56"/>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3A4C5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Arial" w:cs="Arial" w:eastAsia="Arial" w:hAnsi="Arial"/>
      <w:b/>
      <w:bCs/>
      <w:color w:val="24333A"/>
      <w:sz w:val="30"/>
      <w:szCs w:val="30"/>
    </w:rPr>
  </w:style>
  <w:style w:type="paragraph" w:styleId="PolicyBody">
    <w:name w:val="Policy Body"/>
    <w:basedOn w:val="Normal"/>
    <w:next w:val="PolicyBody"/>
    <w:qFormat/>
    <w:pPr>
      <w:spacing w:after="150" w:line="312"/>
    </w:pPr>
    <w:rPr>
      <w:rFonts w:ascii="Arial" w:cs="Arial" w:eastAsia="Arial" w:hAnsi="Arial"/>
      <w:color w:val="20282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International Sustainable Procurement and Responsible Operations Group Limited</dc:title>
  <dc:creator>PolicyCraft</dc:creator>
  <cp:lastModifiedBy>Un-named</cp:lastModifiedBy>
  <cp:revision>1</cp:revision>
  <dcterms:created xsi:type="dcterms:W3CDTF">2026-09-08T05:37:24.905Z</dcterms:created>
  <dcterms:modified xsi:type="dcterms:W3CDTF">2026-09-08T05:37:24.905Z</dcterms:modified>
</cp:coreProperties>
</file>

<file path=docProps/custom.xml><?xml version="1.0" encoding="utf-8"?>
<Properties xmlns="http://schemas.openxmlformats.org/officeDocument/2006/custom-properties" xmlns:vt="http://schemas.openxmlformats.org/officeDocument/2006/docPropsVTypes"/>
</file>