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Acme Specialty Chemicals Pvt. Ltd.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Living Wage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qualitative">
        <w:r>
          <w:rPr>
            <w:rFonts w:ascii="Arial" w:cs="Arial" w:eastAsia="Arial" w:hAnsi="Arial"/>
            <w:b/>
            <w:bCs/>
            <w:color w:val="3A4C56"/>
            <w:sz w:val="20"/>
            <w:szCs w:val="20"/>
          </w:rPr>
          <w:t xml:space="preserve">05   </w:t>
        </w:r>
        <w:r>
          <w:rPr>
            <w:rFonts w:ascii="Arial" w:cs="Arial" w:eastAsia="Arial" w:hAnsi="Arial"/>
            <w:color w:val="24333A"/>
            <w:sz w:val="20"/>
            <w:szCs w:val="20"/>
          </w:rPr>
          <w:t xml:space="preserve">Qualitative Objectives</w:t>
        </w:r>
      </w:hyperlink>
    </w:p>
    <w:p>
      <w:pPr>
        <w:pBdr>
          <w:bottom w:val="dotted" w:color="D8E0E3" w:sz="3" w:space="1"/>
        </w:pBdr>
        <w:spacing w:after="95" w:before="60"/>
      </w:pPr>
      <w:hyperlink w:history="1" w:anchor="standard-quantitative">
        <w:r>
          <w:rPr>
            <w:rFonts w:ascii="Arial" w:cs="Arial" w:eastAsia="Arial" w:hAnsi="Arial"/>
            <w:b/>
            <w:bCs/>
            <w:color w:val="3A4C56"/>
            <w:sz w:val="20"/>
            <w:szCs w:val="20"/>
          </w:rPr>
          <w:t xml:space="preserve">06   </w:t>
        </w:r>
        <w:r>
          <w:rPr>
            <w:rFonts w:ascii="Arial" w:cs="Arial" w:eastAsia="Arial" w:hAnsi="Arial"/>
            <w:color w:val="24333A"/>
            <w:sz w:val="20"/>
            <w:szCs w:val="20"/>
          </w:rPr>
          <w:t xml:space="preserve">Quantitative Targets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07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08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09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10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Living Wage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commitment to implementing this Living Wage Policy in line with applicable requirements, proportionate controls, and regular management review.</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Living-Wage Benchmark &amp; Methodology</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02</w:t>
            </w:r>
            <w:r>
              <w:rPr>
                <w:rFonts w:ascii="Arial" w:cs="Arial" w:eastAsia="Arial" w:hAnsi="Arial"/>
                <w:b/>
                <w:bCs/>
                <w:color w:val="20282D"/>
                <w:sz w:val="24"/>
                <w:szCs w:val="24"/>
              </w:rPr>
              <w:t xml:space="preserve">  Legal Minimum-Wage Compliance</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03</w:t>
            </w:r>
            <w:r>
              <w:rPr>
                <w:rFonts w:ascii="Arial" w:cs="Arial" w:eastAsia="Arial" w:hAnsi="Arial"/>
                <w:b/>
                <w:bCs/>
                <w:color w:val="20282D"/>
                <w:sz w:val="24"/>
                <w:szCs w:val="24"/>
              </w:rPr>
              <w:t xml:space="preserve">  Benefits, Allowances &amp; Total Remuneration</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04</w:t>
            </w:r>
            <w:r>
              <w:rPr>
                <w:rFonts w:ascii="Arial" w:cs="Arial" w:eastAsia="Arial" w:hAnsi="Arial"/>
                <w:b/>
                <w:bCs/>
                <w:color w:val="20282D"/>
                <w:sz w:val="24"/>
                <w:szCs w:val="24"/>
              </w:rPr>
              <w:t xml:space="preserve">  Pay Equity &amp; Transparency</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05</w:t>
            </w:r>
            <w:r>
              <w:rPr>
                <w:rFonts w:ascii="Arial" w:cs="Arial" w:eastAsia="Arial" w:hAnsi="Arial"/>
                <w:b/>
                <w:bCs/>
                <w:color w:val="20282D"/>
                <w:sz w:val="24"/>
                <w:szCs w:val="24"/>
              </w:rPr>
              <w:t xml:space="preserve">  Timely, Traceable Payment</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qualitative"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Qualitative Objectives</w:t>
      </w:r>
    </w:p>
    <w:p>
      <w:pPr>
        <w:spacing w:after="90"/>
      </w:pPr>
      <w:r>
        <w:rPr>
          <w:rFonts w:ascii="Arial" w:cs="Arial" w:eastAsia="Arial" w:hAnsi="Arial"/>
          <w:b/>
          <w:bCs/>
          <w:color w:val="3A4C56"/>
          <w:sz w:val="18"/>
          <w:szCs w:val="18"/>
        </w:rPr>
        <w:t xml:space="preserve">01  </w:t>
      </w:r>
      <w:r>
        <w:rPr>
          <w:rFonts w:ascii="Arial" w:cs="Arial" w:eastAsia="Arial" w:hAnsi="Arial"/>
          <w:b/>
          <w:bCs/>
          <w:color w:val="24333A"/>
          <w:sz w:val="24"/>
          <w:szCs w:val="24"/>
        </w:rPr>
        <w:t xml:space="preserve">Living-Wage Benchmark &amp; Methodology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living-wage benchmark &amp; methodology.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living-wage benchmark &amp; methodology.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living-wage benchmark &amp; methodology.</w:t>
      </w:r>
    </w:p>
    <w:p>
      <w:pPr>
        <w:spacing w:before="70"/>
      </w:pPr>
      <w:r>
        <w:rPr>
          <w:sz w:val="2"/>
          <w:szCs w:val="2"/>
        </w:rPr>
        <w:t xml:space="preserve"> </w:t>
      </w:r>
    </w:p>
    <w:p>
      <w:pPr>
        <w:spacing w:after="90"/>
      </w:pPr>
      <w:r>
        <w:rPr>
          <w:rFonts w:ascii="Arial" w:cs="Arial" w:eastAsia="Arial" w:hAnsi="Arial"/>
          <w:b/>
          <w:bCs/>
          <w:color w:val="3A4C56"/>
          <w:sz w:val="18"/>
          <w:szCs w:val="18"/>
        </w:rPr>
        <w:t xml:space="preserve">02  </w:t>
      </w:r>
      <w:r>
        <w:rPr>
          <w:rFonts w:ascii="Arial" w:cs="Arial" w:eastAsia="Arial" w:hAnsi="Arial"/>
          <w:b/>
          <w:bCs/>
          <w:color w:val="24333A"/>
          <w:sz w:val="24"/>
          <w:szCs w:val="24"/>
        </w:rPr>
        <w:t xml:space="preserve">Legal Minimum-Wage Compliance</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legal minimum-wage compliance.</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legal minimum-wage compliance.</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legal minimum-wage compliance.</w:t>
      </w:r>
    </w:p>
    <w:p>
      <w:pPr>
        <w:spacing w:before="70"/>
      </w:pPr>
      <w:r>
        <w:rPr>
          <w:sz w:val="2"/>
          <w:szCs w:val="2"/>
        </w:rPr>
        <w:t xml:space="preserve"> </w:t>
      </w:r>
    </w:p>
    <w:p>
      <w:pPr>
        <w:spacing w:after="90"/>
      </w:pPr>
      <w:r>
        <w:rPr>
          <w:rFonts w:ascii="Arial" w:cs="Arial" w:eastAsia="Arial" w:hAnsi="Arial"/>
          <w:b/>
          <w:bCs/>
          <w:color w:val="3A4C56"/>
          <w:sz w:val="18"/>
          <w:szCs w:val="18"/>
        </w:rPr>
        <w:t xml:space="preserve">03  </w:t>
      </w:r>
      <w:r>
        <w:rPr>
          <w:rFonts w:ascii="Arial" w:cs="Arial" w:eastAsia="Arial" w:hAnsi="Arial"/>
          <w:b/>
          <w:bCs/>
          <w:color w:val="24333A"/>
          <w:sz w:val="24"/>
          <w:szCs w:val="24"/>
        </w:rPr>
        <w:t xml:space="preserve">Benefits, Allowances &amp; Total Remuneration</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benefits, allowances &amp; total remuneration.</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benefits, allowances &amp; total remuneration.</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Arial" w:cs="Arial" w:eastAsia="Arial" w:hAnsi="Arial"/>
          <w:b/>
          <w:bCs/>
          <w:color w:val="3A4C56"/>
          <w:sz w:val="18"/>
          <w:szCs w:val="18"/>
        </w:rPr>
        <w:t xml:space="preserve">04  </w:t>
      </w:r>
      <w:r>
        <w:rPr>
          <w:rFonts w:ascii="Arial" w:cs="Arial" w:eastAsia="Arial" w:hAnsi="Arial"/>
          <w:b/>
          <w:bCs/>
          <w:color w:val="24333A"/>
          <w:sz w:val="24"/>
          <w:szCs w:val="24"/>
        </w:rPr>
        <w:t xml:space="preserve">Pay Equity &amp; Transparency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pay equity &amp; transparency.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pay equity &amp; transparency.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pay equity &amp; transparency.</w:t>
      </w:r>
    </w:p>
    <w:p>
      <w:pPr>
        <w:spacing w:before="70"/>
      </w:pPr>
      <w:r>
        <w:rPr>
          <w:sz w:val="2"/>
          <w:szCs w:val="2"/>
        </w:rPr>
        <w:t xml:space="preserve"> </w:t>
      </w:r>
    </w:p>
    <w:p>
      <w:pPr>
        <w:spacing w:after="90"/>
      </w:pPr>
      <w:r>
        <w:rPr>
          <w:rFonts w:ascii="Arial" w:cs="Arial" w:eastAsia="Arial" w:hAnsi="Arial"/>
          <w:b/>
          <w:bCs/>
          <w:color w:val="3A4C56"/>
          <w:sz w:val="18"/>
          <w:szCs w:val="18"/>
        </w:rPr>
        <w:t xml:space="preserve">05  </w:t>
      </w:r>
      <w:r>
        <w:rPr>
          <w:rFonts w:ascii="Arial" w:cs="Arial" w:eastAsia="Arial" w:hAnsi="Arial"/>
          <w:b/>
          <w:bCs/>
          <w:color w:val="24333A"/>
          <w:sz w:val="24"/>
          <w:szCs w:val="24"/>
        </w:rPr>
        <w:t xml:space="preserve">Timely, Traceable Payment</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timely, traceable payment.</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timely, traceable payment.</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timely, traceable payment.</w:t>
      </w:r>
    </w:p>
    <w:p>
      <w:pPr>
        <w:spacing w:before="70"/>
      </w:pPr>
      <w:r>
        <w:rPr>
          <w:sz w:val="2"/>
          <w:szCs w:val="2"/>
        </w:rPr>
        <w:t xml:space="preserve"> </w:t>
      </w:r>
    </w:p>
    <w:p>
      <w:pPr>
        <w:spacing w:before="140"/>
      </w:pPr>
      <w:r>
        <w:rPr>
          <w:sz w:val="2"/>
          <w:szCs w:val="2"/>
        </w:rPr>
        <w:t xml:space="preserve"> </w:t>
      </w:r>
    </w:p>
    <w:p>
      <w:pPr>
        <w:pStyle w:val="PolicyHeading"/>
        <w:pBdr>
          <w:bottom w:val="single" w:color="3A4C56" w:sz="4" w:space="1"/>
        </w:pBdr>
        <w:spacing w:after="180" w:before="260"/>
        <w:jc w:val="left"/>
      </w:pPr>
      <w:bookmarkStart w:name="standard-quantitative"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Quantitative Targets</w:t>
      </w:r>
    </w:p>
    <w:p>
      <w:pPr>
        <w:spacing w:after="120"/>
      </w:pPr>
      <w:r>
        <w:rPr>
          <w:rFonts w:ascii="Arial" w:cs="Arial" w:eastAsia="Arial" w:hAnsi="Arial"/>
          <w:i/>
          <w:iCs/>
          <w:color w:val="6A76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Focus Area</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Baseline</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Deadline</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Reporting</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Living-Wage Benchmark &amp; Methodology</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living-wage benchmark &amp; methodology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Legal Minimum-Wage Compliance</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legal minimum-wage compliance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Benefits, Allowances &amp; Total Remuneration</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benefits, allowances &amp; total remuneration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E5243B" w:color="E5243B" w:val="solid"/>
            <w:tcMar>
              <w:top w:type="dxa" w:w="120"/>
              <w:left w:type="dxa" w:w="120"/>
              <w:bottom w:type="dxa" w:w="120"/>
              <w:right w:type="dxa" w:w="120"/>
            </w:tcMar>
            <w:vAlign w:val="center"/>
          </w:tcPr>
          <w:p>
            <w:pPr>
              <w:jc w:val="center"/>
            </w:pPr>
            <w:r>
              <w:rPr>
                <w:b/>
                <w:bCs/>
                <w:color w:val="FFFFFF"/>
                <w:sz w:val="17"/>
                <w:szCs w:val="17"/>
              </w:rPr>
              <w:t xml:space="preserve">SDG 1</w:t>
            </w:r>
          </w:p>
        </w:tc>
        <w:tc>
          <w:tcPr>
            <w:tcW w:type="dxa" w:w="8012"/>
            <w:tcMar>
              <w:top w:type="dxa" w:w="120"/>
              <w:left w:type="dxa" w:w="120"/>
              <w:bottom w:type="dxa" w:w="120"/>
              <w:right w:type="dxa" w:w="120"/>
            </w:tcMar>
            <w:vAlign w:val="center"/>
          </w:tcPr>
          <w:p>
            <w:r>
              <w:rPr>
                <w:rFonts w:ascii="Arial" w:cs="Arial" w:eastAsia="Arial" w:hAnsi="Arial"/>
                <w:b/>
                <w:bCs/>
                <w:color w:val="E5243B"/>
                <w:sz w:val="19"/>
                <w:szCs w:val="19"/>
              </w:rPr>
              <w:t xml:space="preserve">No Poverty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Arial" w:cs="Arial" w:eastAsia="Arial" w:hAnsi="Arial"/>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Arial" w:cs="Arial" w:eastAsia="Arial" w:hAnsi="Arial"/>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Approve the living-wage commitment and review progress against wage and benefit objectives.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Maintain wage benchmarks, implement equitable compensation, and administer wage-related grievance handling.</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Finance &amp; Payroll</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Ensure accurate, timely, traceable payment and maintain records for compensation and statutory benefits.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Line Managers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Communicate compensation practices clearly and escalate concerns affecting employee welfare.</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Employees &amp; Workers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Use available channels to raise wage or benefit concerns without fear of retaliation.</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09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10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2026-09-08T05:39:48.861Z</dcterms:created>
  <dcterms:modified xsi:type="dcterms:W3CDTF">2026-09-08T05:39:48.861Z</dcterms:modified>
</cp:coreProperties>
</file>

<file path=docProps/custom.xml><?xml version="1.0" encoding="utf-8"?>
<Properties xmlns="http://schemas.openxmlformats.org/officeDocument/2006/custom-properties" xmlns:vt="http://schemas.openxmlformats.org/officeDocument/2006/docPropsVTypes"/>
</file>